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7F" w:rsidRPr="00B9010D" w:rsidRDefault="00B9010D">
      <w:pPr>
        <w:rPr>
          <w:sz w:val="40"/>
          <w:szCs w:val="40"/>
        </w:rPr>
      </w:pPr>
    </w:p>
    <w:p w:rsidR="001F0654" w:rsidRPr="00B9010D" w:rsidRDefault="001F0654">
      <w:pPr>
        <w:rPr>
          <w:sz w:val="40"/>
          <w:szCs w:val="40"/>
        </w:rPr>
      </w:pPr>
    </w:p>
    <w:p w:rsidR="001F0654" w:rsidRPr="00B9010D" w:rsidRDefault="001F0654">
      <w:pPr>
        <w:rPr>
          <w:rFonts w:ascii="Lato" w:hAnsi="Lato"/>
          <w:color w:val="444444"/>
          <w:sz w:val="43"/>
          <w:szCs w:val="43"/>
          <w:shd w:val="clear" w:color="auto" w:fill="FFFFFF"/>
        </w:rPr>
      </w:pPr>
      <w:r w:rsidRPr="00B9010D">
        <w:rPr>
          <w:rStyle w:val="Strong"/>
          <w:rFonts w:ascii="Lato" w:hAnsi="Lato"/>
          <w:color w:val="444444"/>
          <w:sz w:val="43"/>
          <w:szCs w:val="43"/>
          <w:bdr w:val="none" w:sz="0" w:space="0" w:color="auto" w:frame="1"/>
          <w:shd w:val="clear" w:color="auto" w:fill="FFFFFF"/>
        </w:rPr>
        <w:t xml:space="preserve">Specific directives of </w:t>
      </w:r>
      <w:r w:rsidR="00B9010D" w:rsidRPr="00B9010D">
        <w:rPr>
          <w:rStyle w:val="Strong"/>
          <w:rFonts w:ascii="Lato" w:hAnsi="Lato"/>
          <w:color w:val="444444"/>
          <w:sz w:val="43"/>
          <w:szCs w:val="43"/>
          <w:bdr w:val="none" w:sz="0" w:space="0" w:color="auto" w:frame="1"/>
          <w:shd w:val="clear" w:color="auto" w:fill="FFFFFF"/>
        </w:rPr>
        <w:t xml:space="preserve">IRDA </w:t>
      </w:r>
      <w:r w:rsidRPr="00B9010D">
        <w:rPr>
          <w:rStyle w:val="Strong"/>
          <w:rFonts w:ascii="Lato" w:hAnsi="Lato"/>
          <w:color w:val="444444"/>
          <w:sz w:val="43"/>
          <w:szCs w:val="43"/>
          <w:bdr w:val="none" w:sz="0" w:space="0" w:color="auto" w:frame="1"/>
          <w:shd w:val="clear" w:color="auto" w:fill="FFFFFF"/>
        </w:rPr>
        <w:t>in regard to ensuring risk management aspects</w:t>
      </w:r>
      <w:proofErr w:type="gramStart"/>
      <w:r w:rsidRPr="00B9010D">
        <w:rPr>
          <w:rStyle w:val="Strong"/>
          <w:rFonts w:ascii="Lato" w:hAnsi="Lato"/>
          <w:color w:val="444444"/>
          <w:sz w:val="43"/>
          <w:szCs w:val="43"/>
          <w:bdr w:val="none" w:sz="0" w:space="0" w:color="auto" w:frame="1"/>
          <w:shd w:val="clear" w:color="auto" w:fill="FFFFFF"/>
        </w:rPr>
        <w:t>:</w:t>
      </w:r>
      <w:proofErr w:type="gramEnd"/>
      <w:r w:rsidRPr="00B9010D">
        <w:rPr>
          <w:rFonts w:ascii="Lato" w:hAnsi="Lato"/>
          <w:color w:val="444444"/>
          <w:sz w:val="43"/>
          <w:szCs w:val="43"/>
        </w:rPr>
        <w:br/>
      </w:r>
      <w:r w:rsidRPr="00B9010D">
        <w:rPr>
          <w:rFonts w:ascii="Lato" w:hAnsi="Lato"/>
          <w:color w:val="444444"/>
          <w:sz w:val="43"/>
          <w:szCs w:val="43"/>
          <w:shd w:val="clear" w:color="auto" w:fill="FFFFFF"/>
        </w:rPr>
        <w:t>IRDA has recently instructed the insurers to follow the under noted guidelines on Investment Risk Management:</w:t>
      </w:r>
      <w:r w:rsidRPr="00B9010D">
        <w:rPr>
          <w:rStyle w:val="apple-converted-space"/>
          <w:rFonts w:ascii="Lato" w:hAnsi="Lato"/>
          <w:color w:val="444444"/>
          <w:sz w:val="43"/>
          <w:szCs w:val="43"/>
          <w:shd w:val="clear" w:color="auto" w:fill="FFFFFF"/>
        </w:rPr>
        <w:t> </w:t>
      </w:r>
      <w:r w:rsidRPr="00B9010D">
        <w:rPr>
          <w:rFonts w:ascii="Lato" w:hAnsi="Lato"/>
          <w:color w:val="444444"/>
          <w:sz w:val="43"/>
          <w:szCs w:val="43"/>
        </w:rPr>
        <w:br/>
      </w:r>
      <w:r w:rsidRPr="00B9010D">
        <w:rPr>
          <w:rFonts w:ascii="Lato" w:hAnsi="Lato"/>
          <w:color w:val="444444"/>
          <w:sz w:val="43"/>
          <w:szCs w:val="43"/>
          <w:shd w:val="clear" w:color="auto" w:fill="FFFFFF"/>
        </w:rPr>
        <w:t>Besides, the following Corporate Governance norms also find place in Insurance Industry though in spirit not in letter for absolute mitigation of various financial risks that do exists in the operation of Life Insurance Companies:</w:t>
      </w:r>
    </w:p>
    <w:p w:rsidR="001F0654" w:rsidRPr="00B9010D" w:rsidRDefault="001F0654">
      <w:pPr>
        <w:rPr>
          <w:rFonts w:ascii="Lato" w:hAnsi="Lato"/>
          <w:color w:val="444444"/>
          <w:sz w:val="43"/>
          <w:szCs w:val="43"/>
          <w:shd w:val="clear" w:color="auto" w:fill="FFFFFF"/>
        </w:rPr>
      </w:pPr>
      <w:r w:rsidRPr="00B9010D">
        <w:rPr>
          <w:rStyle w:val="Strong"/>
          <w:rFonts w:ascii="Lato" w:hAnsi="Lato"/>
          <w:color w:val="444444"/>
          <w:sz w:val="43"/>
          <w:szCs w:val="43"/>
          <w:bdr w:val="none" w:sz="0" w:space="0" w:color="auto" w:frame="1"/>
          <w:shd w:val="clear" w:color="auto" w:fill="FFFFFF"/>
        </w:rPr>
        <w:t>1. A) Financial Reporting and Disclosure</w:t>
      </w:r>
      <w:proofErr w:type="gramStart"/>
      <w:r w:rsidRPr="00B9010D">
        <w:rPr>
          <w:rStyle w:val="Strong"/>
          <w:rFonts w:ascii="Lato" w:hAnsi="Lato"/>
          <w:color w:val="444444"/>
          <w:sz w:val="43"/>
          <w:szCs w:val="43"/>
          <w:bdr w:val="none" w:sz="0" w:space="0" w:color="auto" w:frame="1"/>
          <w:shd w:val="clear" w:color="auto" w:fill="FFFFFF"/>
        </w:rPr>
        <w:t>:</w:t>
      </w:r>
      <w:proofErr w:type="gramEnd"/>
      <w:r w:rsidRPr="00B9010D">
        <w:rPr>
          <w:rFonts w:ascii="Lato" w:hAnsi="Lato"/>
          <w:color w:val="444444"/>
          <w:sz w:val="43"/>
          <w:szCs w:val="43"/>
        </w:rPr>
        <w:br/>
      </w:r>
      <w:r w:rsidRPr="00B9010D">
        <w:rPr>
          <w:rFonts w:ascii="Lato" w:hAnsi="Lato"/>
          <w:color w:val="444444"/>
          <w:sz w:val="43"/>
          <w:szCs w:val="43"/>
          <w:shd w:val="clear" w:color="auto" w:fill="FFFFFF"/>
        </w:rPr>
        <w:t>Where in preparation of financial statements, a treatment different from that prescribed in an Accounting Standard has been followed, the fact shall be disclosed in financial statements, together with the management’s explanation as to why it believes such alternative treatment is more representative of the true and fair view of the underlying business transaction in Corporate Governance Report.</w:t>
      </w:r>
    </w:p>
    <w:p w:rsidR="001F0654" w:rsidRPr="00B9010D" w:rsidRDefault="001F0654">
      <w:pPr>
        <w:rPr>
          <w:rFonts w:ascii="Lato" w:hAnsi="Lato"/>
          <w:color w:val="444444"/>
          <w:sz w:val="43"/>
          <w:szCs w:val="43"/>
          <w:shd w:val="clear" w:color="auto" w:fill="FFFFFF"/>
        </w:rPr>
      </w:pPr>
      <w:r w:rsidRPr="00B9010D">
        <w:rPr>
          <w:rStyle w:val="Strong"/>
          <w:rFonts w:ascii="Lato" w:hAnsi="Lato"/>
          <w:color w:val="444444"/>
          <w:sz w:val="43"/>
          <w:szCs w:val="43"/>
          <w:bdr w:val="none" w:sz="0" w:space="0" w:color="auto" w:frame="1"/>
          <w:shd w:val="clear" w:color="auto" w:fill="FFFFFF"/>
        </w:rPr>
        <w:lastRenderedPageBreak/>
        <w:t>Accounting Standards applicable to Enterprises carrying on Insurance Business are</w:t>
      </w:r>
      <w:proofErr w:type="gramStart"/>
      <w:r w:rsidRPr="00B9010D">
        <w:rPr>
          <w:rStyle w:val="Strong"/>
          <w:rFonts w:ascii="Lato" w:hAnsi="Lato"/>
          <w:color w:val="444444"/>
          <w:sz w:val="43"/>
          <w:szCs w:val="43"/>
          <w:bdr w:val="none" w:sz="0" w:space="0" w:color="auto" w:frame="1"/>
          <w:shd w:val="clear" w:color="auto" w:fill="FFFFFF"/>
        </w:rPr>
        <w:t>:</w:t>
      </w:r>
      <w:proofErr w:type="gramEnd"/>
      <w:r w:rsidRPr="00B9010D">
        <w:rPr>
          <w:rFonts w:ascii="Lato" w:hAnsi="Lato"/>
          <w:color w:val="444444"/>
          <w:sz w:val="43"/>
          <w:szCs w:val="43"/>
        </w:rPr>
        <w:br/>
      </w:r>
      <w:r w:rsidRPr="00B9010D">
        <w:rPr>
          <w:rFonts w:ascii="Lato" w:hAnsi="Lato"/>
          <w:color w:val="444444"/>
          <w:sz w:val="43"/>
          <w:szCs w:val="43"/>
          <w:shd w:val="clear" w:color="auto" w:fill="FFFFFF"/>
        </w:rPr>
        <w:t>AS 1 – Disclosure of Accounting Policies.</w:t>
      </w:r>
      <w:r w:rsidRPr="00B9010D">
        <w:rPr>
          <w:rFonts w:ascii="Lato" w:hAnsi="Lato"/>
          <w:color w:val="444444"/>
          <w:sz w:val="43"/>
          <w:szCs w:val="43"/>
        </w:rPr>
        <w:br/>
      </w:r>
      <w:proofErr w:type="gramStart"/>
      <w:r w:rsidRPr="00B9010D">
        <w:rPr>
          <w:rFonts w:ascii="Lato" w:hAnsi="Lato"/>
          <w:color w:val="444444"/>
          <w:sz w:val="43"/>
          <w:szCs w:val="43"/>
          <w:shd w:val="clear" w:color="auto" w:fill="FFFFFF"/>
        </w:rPr>
        <w:t>AS 3 – Cash Flow Statement.</w:t>
      </w:r>
      <w:proofErr w:type="gramEnd"/>
      <w:r w:rsidRPr="00B9010D">
        <w:rPr>
          <w:rFonts w:ascii="Lato" w:hAnsi="Lato"/>
          <w:color w:val="444444"/>
          <w:sz w:val="43"/>
          <w:szCs w:val="43"/>
        </w:rPr>
        <w:br/>
      </w:r>
      <w:r w:rsidRPr="00B9010D">
        <w:rPr>
          <w:rFonts w:ascii="Lato" w:hAnsi="Lato"/>
          <w:color w:val="444444"/>
          <w:sz w:val="43"/>
          <w:szCs w:val="43"/>
          <w:shd w:val="clear" w:color="auto" w:fill="FFFFFF"/>
        </w:rPr>
        <w:t>AS 4 – Contingencies and/or events occurring after the Balance Sheet date.</w:t>
      </w:r>
      <w:r w:rsidRPr="00B9010D">
        <w:rPr>
          <w:rFonts w:ascii="Lato" w:hAnsi="Lato"/>
          <w:color w:val="444444"/>
          <w:sz w:val="43"/>
          <w:szCs w:val="43"/>
        </w:rPr>
        <w:br/>
      </w:r>
      <w:r w:rsidRPr="00B9010D">
        <w:rPr>
          <w:rFonts w:ascii="Lato" w:hAnsi="Lato"/>
          <w:color w:val="444444"/>
          <w:sz w:val="43"/>
          <w:szCs w:val="43"/>
          <w:shd w:val="clear" w:color="auto" w:fill="FFFFFF"/>
        </w:rPr>
        <w:t>AS 5 – Prior Period Items and changes in accounting Policies.</w:t>
      </w:r>
      <w:r w:rsidRPr="00B9010D">
        <w:rPr>
          <w:rFonts w:ascii="Lato" w:hAnsi="Lato"/>
          <w:color w:val="444444"/>
          <w:sz w:val="43"/>
          <w:szCs w:val="43"/>
        </w:rPr>
        <w:br/>
      </w:r>
      <w:proofErr w:type="gramStart"/>
      <w:r w:rsidRPr="00B9010D">
        <w:rPr>
          <w:rFonts w:ascii="Lato" w:hAnsi="Lato"/>
          <w:color w:val="444444"/>
          <w:sz w:val="43"/>
          <w:szCs w:val="43"/>
          <w:shd w:val="clear" w:color="auto" w:fill="FFFFFF"/>
        </w:rPr>
        <w:t>AS 6 – Depreciation Accounting.</w:t>
      </w:r>
      <w:proofErr w:type="gramEnd"/>
      <w:r w:rsidRPr="00B9010D">
        <w:rPr>
          <w:rFonts w:ascii="Lato" w:hAnsi="Lato"/>
          <w:color w:val="444444"/>
          <w:sz w:val="43"/>
          <w:szCs w:val="43"/>
        </w:rPr>
        <w:br/>
      </w:r>
      <w:r w:rsidRPr="00B9010D">
        <w:rPr>
          <w:rFonts w:ascii="Lato" w:hAnsi="Lato"/>
          <w:color w:val="444444"/>
          <w:sz w:val="43"/>
          <w:szCs w:val="43"/>
          <w:shd w:val="clear" w:color="auto" w:fill="FFFFFF"/>
        </w:rPr>
        <w:t>AS 10 – Accounting, Disclosure &amp; Revaluation of Fixed Assets</w:t>
      </w:r>
      <w:r w:rsidRPr="00B9010D">
        <w:rPr>
          <w:rFonts w:ascii="Lato" w:hAnsi="Lato"/>
          <w:color w:val="444444"/>
          <w:sz w:val="43"/>
          <w:szCs w:val="43"/>
        </w:rPr>
        <w:br/>
      </w:r>
      <w:r w:rsidRPr="00B9010D">
        <w:rPr>
          <w:rFonts w:ascii="Lato" w:hAnsi="Lato"/>
          <w:color w:val="444444"/>
          <w:sz w:val="43"/>
          <w:szCs w:val="43"/>
          <w:shd w:val="clear" w:color="auto" w:fill="FFFFFF"/>
        </w:rPr>
        <w:t>AS 11 – Accounting for the effects of changes in Foreign Exchange Rates</w:t>
      </w:r>
      <w:r w:rsidRPr="00B9010D">
        <w:rPr>
          <w:rFonts w:ascii="Lato" w:hAnsi="Lato"/>
          <w:color w:val="444444"/>
          <w:sz w:val="43"/>
          <w:szCs w:val="43"/>
        </w:rPr>
        <w:br/>
      </w:r>
      <w:r w:rsidRPr="00B9010D">
        <w:rPr>
          <w:rFonts w:ascii="Lato" w:hAnsi="Lato"/>
          <w:color w:val="444444"/>
          <w:sz w:val="43"/>
          <w:szCs w:val="43"/>
          <w:shd w:val="clear" w:color="auto" w:fill="FFFFFF"/>
        </w:rPr>
        <w:t>AS 13 – Accounting for Investment</w:t>
      </w:r>
      <w:r w:rsidRPr="00B9010D">
        <w:rPr>
          <w:rFonts w:ascii="Lato" w:hAnsi="Lato"/>
          <w:color w:val="444444"/>
          <w:sz w:val="43"/>
          <w:szCs w:val="43"/>
        </w:rPr>
        <w:br/>
      </w:r>
      <w:r w:rsidRPr="00B9010D">
        <w:rPr>
          <w:rFonts w:ascii="Lato" w:hAnsi="Lato"/>
          <w:color w:val="444444"/>
          <w:sz w:val="43"/>
          <w:szCs w:val="43"/>
          <w:shd w:val="clear" w:color="auto" w:fill="FFFFFF"/>
        </w:rPr>
        <w:t>AS 15 – Accounting for Retirement Benefits in the Financial Statements of Employees</w:t>
      </w:r>
      <w:r w:rsidRPr="00B9010D">
        <w:rPr>
          <w:rFonts w:ascii="Lato" w:hAnsi="Lato"/>
          <w:color w:val="444444"/>
          <w:sz w:val="43"/>
          <w:szCs w:val="43"/>
        </w:rPr>
        <w:br/>
      </w:r>
      <w:r w:rsidRPr="00B9010D">
        <w:rPr>
          <w:rFonts w:ascii="Lato" w:hAnsi="Lato"/>
          <w:color w:val="444444"/>
          <w:sz w:val="43"/>
          <w:szCs w:val="43"/>
          <w:shd w:val="clear" w:color="auto" w:fill="FFFFFF"/>
        </w:rPr>
        <w:t>AS 17 – Segment Reporting</w:t>
      </w:r>
      <w:r w:rsidRPr="00B9010D">
        <w:rPr>
          <w:rFonts w:ascii="Lato" w:hAnsi="Lato"/>
          <w:color w:val="444444"/>
          <w:sz w:val="43"/>
          <w:szCs w:val="43"/>
        </w:rPr>
        <w:br/>
      </w:r>
      <w:r w:rsidRPr="00B9010D">
        <w:rPr>
          <w:rFonts w:ascii="Lato" w:hAnsi="Lato"/>
          <w:color w:val="444444"/>
          <w:sz w:val="43"/>
          <w:szCs w:val="43"/>
          <w:shd w:val="clear" w:color="auto" w:fill="FFFFFF"/>
        </w:rPr>
        <w:t>AS 18 – Related Party Disclosures</w:t>
      </w:r>
      <w:r w:rsidRPr="00B9010D">
        <w:rPr>
          <w:rFonts w:ascii="Lato" w:hAnsi="Lato"/>
          <w:color w:val="444444"/>
          <w:sz w:val="43"/>
          <w:szCs w:val="43"/>
        </w:rPr>
        <w:br/>
      </w:r>
      <w:r w:rsidRPr="00B9010D">
        <w:rPr>
          <w:rFonts w:ascii="Lato" w:hAnsi="Lato"/>
          <w:color w:val="444444"/>
          <w:sz w:val="43"/>
          <w:szCs w:val="43"/>
          <w:shd w:val="clear" w:color="auto" w:fill="FFFFFF"/>
        </w:rPr>
        <w:t>AS 22 – Accounting for Taxes on income</w:t>
      </w:r>
      <w:r w:rsidRPr="00B9010D">
        <w:rPr>
          <w:rFonts w:ascii="Lato" w:hAnsi="Lato"/>
          <w:color w:val="444444"/>
          <w:sz w:val="43"/>
          <w:szCs w:val="43"/>
        </w:rPr>
        <w:br/>
      </w:r>
      <w:r w:rsidRPr="00B9010D">
        <w:rPr>
          <w:rFonts w:ascii="Lato" w:hAnsi="Lato"/>
          <w:color w:val="444444"/>
          <w:sz w:val="43"/>
          <w:szCs w:val="43"/>
          <w:shd w:val="clear" w:color="auto" w:fill="FFFFFF"/>
        </w:rPr>
        <w:t>AS 26 – Recognition and Accounting of Intangible Assets</w:t>
      </w:r>
      <w:r w:rsidRPr="00B9010D">
        <w:rPr>
          <w:rFonts w:ascii="Lato" w:hAnsi="Lato"/>
          <w:color w:val="444444"/>
          <w:sz w:val="43"/>
          <w:szCs w:val="43"/>
        </w:rPr>
        <w:br/>
      </w:r>
      <w:r w:rsidRPr="00B9010D">
        <w:rPr>
          <w:rFonts w:ascii="Lato" w:hAnsi="Lato"/>
          <w:color w:val="444444"/>
          <w:sz w:val="43"/>
          <w:szCs w:val="43"/>
          <w:shd w:val="clear" w:color="auto" w:fill="FFFFFF"/>
        </w:rPr>
        <w:t>AS 28 – Impairment of Assets.</w:t>
      </w:r>
      <w:r w:rsidRPr="00B9010D">
        <w:rPr>
          <w:rFonts w:ascii="Lato" w:hAnsi="Lato"/>
          <w:color w:val="444444"/>
          <w:sz w:val="43"/>
          <w:szCs w:val="43"/>
        </w:rPr>
        <w:br/>
      </w:r>
      <w:proofErr w:type="gramStart"/>
      <w:r w:rsidRPr="00B9010D">
        <w:rPr>
          <w:rFonts w:ascii="Lato" w:hAnsi="Lato"/>
          <w:color w:val="444444"/>
          <w:sz w:val="43"/>
          <w:szCs w:val="43"/>
          <w:shd w:val="clear" w:color="auto" w:fill="FFFFFF"/>
        </w:rPr>
        <w:lastRenderedPageBreak/>
        <w:t>AS 29 – Provisions, Contingent Liabilities &amp; Contingent Assets.</w:t>
      </w:r>
      <w:proofErr w:type="gramEnd"/>
    </w:p>
    <w:p w:rsidR="001F0654" w:rsidRPr="00B9010D" w:rsidRDefault="001F0654">
      <w:pPr>
        <w:rPr>
          <w:rFonts w:ascii="Lato" w:hAnsi="Lato"/>
          <w:color w:val="444444"/>
          <w:sz w:val="43"/>
          <w:szCs w:val="43"/>
          <w:shd w:val="clear" w:color="auto" w:fill="FFFFFF"/>
        </w:rPr>
      </w:pPr>
    </w:p>
    <w:p w:rsidR="001F0654" w:rsidRPr="00B9010D" w:rsidRDefault="001F0654">
      <w:pPr>
        <w:rPr>
          <w:rFonts w:ascii="Lato" w:hAnsi="Lato"/>
          <w:color w:val="444444"/>
          <w:sz w:val="43"/>
          <w:szCs w:val="43"/>
          <w:shd w:val="clear" w:color="auto" w:fill="FFFFFF"/>
        </w:rPr>
      </w:pPr>
      <w:r w:rsidRPr="00B9010D">
        <w:rPr>
          <w:rFonts w:ascii="Lato" w:hAnsi="Lato"/>
          <w:color w:val="444444"/>
          <w:sz w:val="43"/>
          <w:szCs w:val="43"/>
          <w:shd w:val="clear" w:color="auto" w:fill="FFFFFF"/>
        </w:rPr>
        <w:t>Mandatory risk management requirement compliance by life insurers</w:t>
      </w:r>
      <w:proofErr w:type="gramStart"/>
      <w:r w:rsidRPr="00B9010D">
        <w:rPr>
          <w:rFonts w:ascii="Lato" w:hAnsi="Lato"/>
          <w:color w:val="444444"/>
          <w:sz w:val="43"/>
          <w:szCs w:val="43"/>
          <w:shd w:val="clear" w:color="auto" w:fill="FFFFFF"/>
        </w:rPr>
        <w:t>:</w:t>
      </w:r>
      <w:proofErr w:type="gramEnd"/>
      <w:r w:rsidRPr="00B9010D">
        <w:rPr>
          <w:rFonts w:ascii="Lato" w:hAnsi="Lato"/>
          <w:color w:val="444444"/>
          <w:sz w:val="43"/>
          <w:szCs w:val="43"/>
        </w:rPr>
        <w:br/>
      </w:r>
      <w:r w:rsidRPr="00B9010D">
        <w:rPr>
          <w:rFonts w:ascii="Lato" w:hAnsi="Lato"/>
          <w:color w:val="444444"/>
          <w:sz w:val="43"/>
          <w:szCs w:val="43"/>
          <w:shd w:val="clear" w:color="auto" w:fill="FFFFFF"/>
        </w:rPr>
        <w:t>1. Disclosure about risk management process: Risk identification results:</w:t>
      </w:r>
      <w:r w:rsidRPr="00B9010D">
        <w:rPr>
          <w:rFonts w:ascii="Lato" w:hAnsi="Lato"/>
          <w:color w:val="444444"/>
          <w:sz w:val="43"/>
          <w:szCs w:val="43"/>
        </w:rPr>
        <w:br/>
      </w:r>
      <w:r w:rsidRPr="00B9010D">
        <w:rPr>
          <w:rFonts w:ascii="Lato" w:hAnsi="Lato"/>
          <w:color w:val="444444"/>
          <w:sz w:val="43"/>
          <w:szCs w:val="43"/>
          <w:shd w:val="clear" w:color="auto" w:fill="FFFFFF"/>
        </w:rPr>
        <w:t>Like involvement of –</w:t>
      </w:r>
      <w:r w:rsidRPr="00B9010D">
        <w:rPr>
          <w:rFonts w:ascii="Lato" w:hAnsi="Lato"/>
          <w:color w:val="444444"/>
          <w:sz w:val="43"/>
          <w:szCs w:val="43"/>
        </w:rPr>
        <w:br/>
      </w:r>
      <w:r w:rsidRPr="00B9010D">
        <w:rPr>
          <w:rFonts w:ascii="Lato" w:hAnsi="Lato"/>
          <w:color w:val="444444"/>
          <w:sz w:val="43"/>
          <w:szCs w:val="43"/>
          <w:shd w:val="clear" w:color="auto" w:fill="FFFFFF"/>
        </w:rPr>
        <w:t>a. Political Risk.</w:t>
      </w:r>
    </w:p>
    <w:p w:rsidR="001F0654" w:rsidRPr="00B9010D" w:rsidRDefault="001F0654">
      <w:pPr>
        <w:rPr>
          <w:rFonts w:ascii="Lato" w:hAnsi="Lato"/>
          <w:color w:val="444444"/>
          <w:sz w:val="43"/>
          <w:szCs w:val="43"/>
          <w:shd w:val="clear" w:color="auto" w:fill="FFFFFF"/>
        </w:rPr>
      </w:pPr>
    </w:p>
    <w:p w:rsidR="001F0654" w:rsidRPr="00B9010D" w:rsidRDefault="001F0654">
      <w:pPr>
        <w:rPr>
          <w:rFonts w:ascii="Lato" w:hAnsi="Lato"/>
          <w:color w:val="444444"/>
          <w:sz w:val="43"/>
          <w:szCs w:val="43"/>
          <w:shd w:val="clear" w:color="auto" w:fill="FFFFFF"/>
        </w:rPr>
      </w:pPr>
      <w:r w:rsidRPr="00B9010D">
        <w:rPr>
          <w:rFonts w:ascii="Lato" w:hAnsi="Lato"/>
          <w:color w:val="444444"/>
          <w:sz w:val="43"/>
          <w:szCs w:val="43"/>
          <w:shd w:val="clear" w:color="auto" w:fill="FFFFFF"/>
        </w:rPr>
        <w:t>b. Business Risks: Like –</w:t>
      </w:r>
      <w:r w:rsidRPr="00B9010D">
        <w:rPr>
          <w:rFonts w:ascii="Lato" w:hAnsi="Lato"/>
          <w:color w:val="444444"/>
          <w:sz w:val="43"/>
          <w:szCs w:val="43"/>
        </w:rPr>
        <w:br/>
      </w:r>
      <w:proofErr w:type="spellStart"/>
      <w:r w:rsidRPr="00B9010D">
        <w:rPr>
          <w:rFonts w:ascii="Lato" w:hAnsi="Lato"/>
          <w:color w:val="444444"/>
          <w:sz w:val="43"/>
          <w:szCs w:val="43"/>
          <w:shd w:val="clear" w:color="auto" w:fill="FFFFFF"/>
        </w:rPr>
        <w:t>i</w:t>
      </w:r>
      <w:proofErr w:type="spellEnd"/>
      <w:r w:rsidRPr="00B9010D">
        <w:rPr>
          <w:rFonts w:ascii="Lato" w:hAnsi="Lato"/>
          <w:color w:val="444444"/>
          <w:sz w:val="43"/>
          <w:szCs w:val="43"/>
          <w:shd w:val="clear" w:color="auto" w:fill="FFFFFF"/>
        </w:rPr>
        <w:t>. Client construction</w:t>
      </w:r>
      <w:proofErr w:type="gramStart"/>
      <w:r w:rsidRPr="00B9010D">
        <w:rPr>
          <w:rFonts w:ascii="Lato" w:hAnsi="Lato"/>
          <w:color w:val="444444"/>
          <w:sz w:val="43"/>
          <w:szCs w:val="43"/>
          <w:shd w:val="clear" w:color="auto" w:fill="FFFFFF"/>
        </w:rPr>
        <w:t>;</w:t>
      </w:r>
      <w:proofErr w:type="gramEnd"/>
      <w:r w:rsidRPr="00B9010D">
        <w:rPr>
          <w:rFonts w:ascii="Lato" w:hAnsi="Lato"/>
          <w:color w:val="444444"/>
          <w:sz w:val="43"/>
          <w:szCs w:val="43"/>
        </w:rPr>
        <w:br/>
      </w:r>
      <w:r w:rsidRPr="00B9010D">
        <w:rPr>
          <w:rFonts w:ascii="Lato" w:hAnsi="Lato"/>
          <w:color w:val="444444"/>
          <w:sz w:val="43"/>
          <w:szCs w:val="43"/>
          <w:shd w:val="clear" w:color="auto" w:fill="FFFFFF"/>
        </w:rPr>
        <w:t>ii. Credit Control</w:t>
      </w:r>
      <w:proofErr w:type="gramStart"/>
      <w:r w:rsidRPr="00B9010D">
        <w:rPr>
          <w:rFonts w:ascii="Lato" w:hAnsi="Lato"/>
          <w:color w:val="444444"/>
          <w:sz w:val="43"/>
          <w:szCs w:val="43"/>
          <w:shd w:val="clear" w:color="auto" w:fill="FFFFFF"/>
        </w:rPr>
        <w:t>;</w:t>
      </w:r>
      <w:proofErr w:type="gramEnd"/>
      <w:r w:rsidRPr="00B9010D">
        <w:rPr>
          <w:rFonts w:ascii="Lato" w:hAnsi="Lato"/>
          <w:color w:val="444444"/>
          <w:sz w:val="43"/>
          <w:szCs w:val="43"/>
        </w:rPr>
        <w:br/>
      </w:r>
      <w:r w:rsidRPr="00B9010D">
        <w:rPr>
          <w:rFonts w:ascii="Lato" w:hAnsi="Lato"/>
          <w:color w:val="444444"/>
          <w:sz w:val="43"/>
          <w:szCs w:val="43"/>
          <w:shd w:val="clear" w:color="auto" w:fill="FFFFFF"/>
        </w:rPr>
        <w:t>iii. Geographical Risks</w:t>
      </w:r>
      <w:proofErr w:type="gramStart"/>
      <w:r w:rsidRPr="00B9010D">
        <w:rPr>
          <w:rFonts w:ascii="Lato" w:hAnsi="Lato"/>
          <w:color w:val="444444"/>
          <w:sz w:val="43"/>
          <w:szCs w:val="43"/>
          <w:shd w:val="clear" w:color="auto" w:fill="FFFFFF"/>
        </w:rPr>
        <w:t>;</w:t>
      </w:r>
      <w:proofErr w:type="gramEnd"/>
      <w:r w:rsidRPr="00B9010D">
        <w:rPr>
          <w:rFonts w:ascii="Lato" w:hAnsi="Lato"/>
          <w:color w:val="444444"/>
          <w:sz w:val="43"/>
          <w:szCs w:val="43"/>
        </w:rPr>
        <w:br/>
      </w:r>
      <w:r w:rsidRPr="00B9010D">
        <w:rPr>
          <w:rFonts w:ascii="Lato" w:hAnsi="Lato"/>
          <w:color w:val="444444"/>
          <w:sz w:val="43"/>
          <w:szCs w:val="43"/>
          <w:shd w:val="clear" w:color="auto" w:fill="FFFFFF"/>
        </w:rPr>
        <w:t>iv. Economic Risks</w:t>
      </w:r>
      <w:proofErr w:type="gramStart"/>
      <w:r w:rsidRPr="00B9010D">
        <w:rPr>
          <w:rFonts w:ascii="Lato" w:hAnsi="Lato"/>
          <w:color w:val="444444"/>
          <w:sz w:val="43"/>
          <w:szCs w:val="43"/>
          <w:shd w:val="clear" w:color="auto" w:fill="FFFFFF"/>
        </w:rPr>
        <w:t>;</w:t>
      </w:r>
      <w:proofErr w:type="gramEnd"/>
      <w:r w:rsidRPr="00B9010D">
        <w:rPr>
          <w:rFonts w:ascii="Lato" w:hAnsi="Lato"/>
          <w:color w:val="444444"/>
          <w:sz w:val="43"/>
          <w:szCs w:val="43"/>
        </w:rPr>
        <w:br/>
      </w:r>
      <w:r w:rsidRPr="00B9010D">
        <w:rPr>
          <w:rFonts w:ascii="Lato" w:hAnsi="Lato"/>
          <w:color w:val="444444"/>
          <w:sz w:val="43"/>
          <w:szCs w:val="43"/>
          <w:shd w:val="clear" w:color="auto" w:fill="FFFFFF"/>
        </w:rPr>
        <w:t>v. Technology Risks</w:t>
      </w:r>
    </w:p>
    <w:p w:rsidR="001F0654" w:rsidRPr="00B9010D" w:rsidRDefault="001F0654">
      <w:pPr>
        <w:rPr>
          <w:rFonts w:ascii="Lato" w:hAnsi="Lato"/>
          <w:color w:val="444444"/>
          <w:sz w:val="43"/>
          <w:szCs w:val="43"/>
          <w:shd w:val="clear" w:color="auto" w:fill="FFFFFF"/>
        </w:rPr>
      </w:pPr>
    </w:p>
    <w:p w:rsidR="001F0654" w:rsidRPr="00B9010D" w:rsidRDefault="001F0654">
      <w:pPr>
        <w:rPr>
          <w:rFonts w:ascii="Lato" w:hAnsi="Lato"/>
          <w:color w:val="444444"/>
          <w:sz w:val="43"/>
          <w:szCs w:val="43"/>
          <w:shd w:val="clear" w:color="auto" w:fill="FFFFFF"/>
        </w:rPr>
      </w:pPr>
      <w:r w:rsidRPr="00B9010D">
        <w:rPr>
          <w:rFonts w:ascii="Lato" w:hAnsi="Lato"/>
          <w:color w:val="444444"/>
          <w:sz w:val="43"/>
          <w:szCs w:val="43"/>
          <w:shd w:val="clear" w:color="auto" w:fill="FFFFFF"/>
        </w:rPr>
        <w:t>c. Financial Risks: Like –</w:t>
      </w:r>
      <w:r w:rsidRPr="00B9010D">
        <w:rPr>
          <w:rFonts w:ascii="Lato" w:hAnsi="Lato"/>
          <w:color w:val="444444"/>
          <w:sz w:val="43"/>
          <w:szCs w:val="43"/>
        </w:rPr>
        <w:br/>
      </w:r>
      <w:proofErr w:type="spellStart"/>
      <w:r w:rsidRPr="00B9010D">
        <w:rPr>
          <w:rFonts w:ascii="Lato" w:hAnsi="Lato"/>
          <w:color w:val="444444"/>
          <w:sz w:val="43"/>
          <w:szCs w:val="43"/>
          <w:shd w:val="clear" w:color="auto" w:fill="FFFFFF"/>
        </w:rPr>
        <w:t>i</w:t>
      </w:r>
      <w:proofErr w:type="spellEnd"/>
      <w:r w:rsidRPr="00B9010D">
        <w:rPr>
          <w:rFonts w:ascii="Lato" w:hAnsi="Lato"/>
          <w:color w:val="444444"/>
          <w:sz w:val="43"/>
          <w:szCs w:val="43"/>
          <w:shd w:val="clear" w:color="auto" w:fill="FFFFFF"/>
        </w:rPr>
        <w:t>. Liquidity</w:t>
      </w:r>
      <w:proofErr w:type="gramStart"/>
      <w:r w:rsidRPr="00B9010D">
        <w:rPr>
          <w:rFonts w:ascii="Lato" w:hAnsi="Lato"/>
          <w:color w:val="444444"/>
          <w:sz w:val="43"/>
          <w:szCs w:val="43"/>
          <w:shd w:val="clear" w:color="auto" w:fill="FFFFFF"/>
        </w:rPr>
        <w:t>;</w:t>
      </w:r>
      <w:proofErr w:type="gramEnd"/>
      <w:r w:rsidRPr="00B9010D">
        <w:rPr>
          <w:rFonts w:ascii="Lato" w:hAnsi="Lato"/>
          <w:color w:val="444444"/>
          <w:sz w:val="43"/>
          <w:szCs w:val="43"/>
        </w:rPr>
        <w:br/>
      </w:r>
      <w:r w:rsidRPr="00B9010D">
        <w:rPr>
          <w:rFonts w:ascii="Lato" w:hAnsi="Lato"/>
          <w:color w:val="444444"/>
          <w:sz w:val="43"/>
          <w:szCs w:val="43"/>
          <w:shd w:val="clear" w:color="auto" w:fill="FFFFFF"/>
        </w:rPr>
        <w:lastRenderedPageBreak/>
        <w:t>ii. Leverage</w:t>
      </w:r>
      <w:proofErr w:type="gramStart"/>
      <w:r w:rsidRPr="00B9010D">
        <w:rPr>
          <w:rFonts w:ascii="Lato" w:hAnsi="Lato"/>
          <w:color w:val="444444"/>
          <w:sz w:val="43"/>
          <w:szCs w:val="43"/>
          <w:shd w:val="clear" w:color="auto" w:fill="FFFFFF"/>
        </w:rPr>
        <w:t>;</w:t>
      </w:r>
      <w:proofErr w:type="gramEnd"/>
      <w:r w:rsidRPr="00B9010D">
        <w:rPr>
          <w:rFonts w:ascii="Lato" w:hAnsi="Lato"/>
          <w:color w:val="444444"/>
          <w:sz w:val="43"/>
          <w:szCs w:val="43"/>
        </w:rPr>
        <w:br/>
      </w:r>
      <w:r w:rsidRPr="00B9010D">
        <w:rPr>
          <w:rFonts w:ascii="Lato" w:hAnsi="Lato"/>
          <w:color w:val="444444"/>
          <w:sz w:val="43"/>
          <w:szCs w:val="43"/>
          <w:shd w:val="clear" w:color="auto" w:fill="FFFFFF"/>
        </w:rPr>
        <w:t xml:space="preserve">iii. </w:t>
      </w:r>
      <w:proofErr w:type="gramStart"/>
      <w:r w:rsidRPr="00B9010D">
        <w:rPr>
          <w:rFonts w:ascii="Lato" w:hAnsi="Lato"/>
          <w:color w:val="444444"/>
          <w:sz w:val="43"/>
          <w:szCs w:val="43"/>
          <w:shd w:val="clear" w:color="auto" w:fill="FFFFFF"/>
        </w:rPr>
        <w:t>Foreign Currency Fluctuation.</w:t>
      </w:r>
      <w:proofErr w:type="gramEnd"/>
    </w:p>
    <w:p w:rsidR="001F0654" w:rsidRPr="00B9010D" w:rsidRDefault="001F0654">
      <w:pPr>
        <w:rPr>
          <w:rFonts w:ascii="Lato" w:hAnsi="Lato"/>
          <w:color w:val="444444"/>
          <w:sz w:val="43"/>
          <w:szCs w:val="43"/>
          <w:shd w:val="clear" w:color="auto" w:fill="FFFFFF"/>
        </w:rPr>
      </w:pPr>
    </w:p>
    <w:p w:rsidR="001F0654" w:rsidRPr="00B9010D" w:rsidRDefault="001F0654">
      <w:pPr>
        <w:rPr>
          <w:rFonts w:ascii="Lato" w:hAnsi="Lato"/>
          <w:color w:val="444444"/>
          <w:sz w:val="43"/>
          <w:szCs w:val="43"/>
          <w:shd w:val="clear" w:color="auto" w:fill="FFFFFF"/>
        </w:rPr>
      </w:pPr>
      <w:proofErr w:type="gramStart"/>
      <w:r w:rsidRPr="00B9010D">
        <w:rPr>
          <w:rFonts w:ascii="Lato" w:hAnsi="Lato"/>
          <w:color w:val="444444"/>
          <w:sz w:val="43"/>
          <w:szCs w:val="43"/>
          <w:shd w:val="clear" w:color="auto" w:fill="FFFFFF"/>
        </w:rPr>
        <w:t>d</w:t>
      </w:r>
      <w:proofErr w:type="gramEnd"/>
      <w:r w:rsidRPr="00B9010D">
        <w:rPr>
          <w:rFonts w:ascii="Lato" w:hAnsi="Lato"/>
          <w:color w:val="444444"/>
          <w:sz w:val="43"/>
          <w:szCs w:val="43"/>
          <w:shd w:val="clear" w:color="auto" w:fill="FFFFFF"/>
        </w:rPr>
        <w:t>. Legal &amp; Statutory Risks: Like –</w:t>
      </w:r>
      <w:r w:rsidRPr="00B9010D">
        <w:rPr>
          <w:rFonts w:ascii="Lato" w:hAnsi="Lato"/>
          <w:color w:val="444444"/>
          <w:sz w:val="43"/>
          <w:szCs w:val="43"/>
        </w:rPr>
        <w:br/>
      </w:r>
      <w:proofErr w:type="spellStart"/>
      <w:r w:rsidRPr="00B9010D">
        <w:rPr>
          <w:rFonts w:ascii="Lato" w:hAnsi="Lato"/>
          <w:color w:val="444444"/>
          <w:sz w:val="43"/>
          <w:szCs w:val="43"/>
          <w:shd w:val="clear" w:color="auto" w:fill="FFFFFF"/>
        </w:rPr>
        <w:t>i</w:t>
      </w:r>
      <w:proofErr w:type="spellEnd"/>
      <w:r w:rsidRPr="00B9010D">
        <w:rPr>
          <w:rFonts w:ascii="Lato" w:hAnsi="Lato"/>
          <w:color w:val="444444"/>
          <w:sz w:val="43"/>
          <w:szCs w:val="43"/>
          <w:shd w:val="clear" w:color="auto" w:fill="FFFFFF"/>
        </w:rPr>
        <w:t>. Legal &amp; Statutory Risks;</w:t>
      </w:r>
      <w:r w:rsidRPr="00B9010D">
        <w:rPr>
          <w:rFonts w:ascii="Lato" w:hAnsi="Lato"/>
          <w:color w:val="444444"/>
          <w:sz w:val="43"/>
          <w:szCs w:val="43"/>
        </w:rPr>
        <w:br/>
      </w:r>
      <w:r w:rsidRPr="00B9010D">
        <w:rPr>
          <w:rFonts w:ascii="Lato" w:hAnsi="Lato"/>
          <w:color w:val="444444"/>
          <w:sz w:val="43"/>
          <w:szCs w:val="43"/>
          <w:shd w:val="clear" w:color="auto" w:fill="FFFFFF"/>
        </w:rPr>
        <w:t>ii. Contractual Risks</w:t>
      </w:r>
      <w:proofErr w:type="gramStart"/>
      <w:r w:rsidRPr="00B9010D">
        <w:rPr>
          <w:rFonts w:ascii="Lato" w:hAnsi="Lato"/>
          <w:color w:val="444444"/>
          <w:sz w:val="43"/>
          <w:szCs w:val="43"/>
          <w:shd w:val="clear" w:color="auto" w:fill="FFFFFF"/>
        </w:rPr>
        <w:t>;</w:t>
      </w:r>
      <w:proofErr w:type="gramEnd"/>
      <w:r w:rsidRPr="00B9010D">
        <w:rPr>
          <w:rFonts w:ascii="Lato" w:hAnsi="Lato"/>
          <w:color w:val="444444"/>
          <w:sz w:val="43"/>
          <w:szCs w:val="43"/>
        </w:rPr>
        <w:br/>
      </w:r>
      <w:r w:rsidRPr="00B9010D">
        <w:rPr>
          <w:rFonts w:ascii="Lato" w:hAnsi="Lato"/>
          <w:color w:val="444444"/>
          <w:sz w:val="43"/>
          <w:szCs w:val="43"/>
          <w:shd w:val="clear" w:color="auto" w:fill="FFFFFF"/>
        </w:rPr>
        <w:t xml:space="preserve">iii. </w:t>
      </w:r>
      <w:proofErr w:type="gramStart"/>
      <w:r w:rsidRPr="00B9010D">
        <w:rPr>
          <w:rFonts w:ascii="Lato" w:hAnsi="Lato"/>
          <w:color w:val="444444"/>
          <w:sz w:val="43"/>
          <w:szCs w:val="43"/>
          <w:shd w:val="clear" w:color="auto" w:fill="FFFFFF"/>
        </w:rPr>
        <w:t>Statutory Compliance.</w:t>
      </w:r>
      <w:proofErr w:type="gramEnd"/>
    </w:p>
    <w:p w:rsidR="001F0654" w:rsidRPr="00B9010D" w:rsidRDefault="001F0654">
      <w:pPr>
        <w:rPr>
          <w:rFonts w:ascii="Lato" w:hAnsi="Lato"/>
          <w:color w:val="444444"/>
          <w:sz w:val="43"/>
          <w:szCs w:val="43"/>
          <w:shd w:val="clear" w:color="auto" w:fill="FFFFFF"/>
        </w:rPr>
      </w:pPr>
    </w:p>
    <w:p w:rsidR="001F0654" w:rsidRPr="00B9010D" w:rsidRDefault="001F0654">
      <w:pPr>
        <w:rPr>
          <w:rFonts w:ascii="Lato" w:hAnsi="Lato"/>
          <w:color w:val="444444"/>
          <w:sz w:val="43"/>
          <w:szCs w:val="43"/>
          <w:shd w:val="clear" w:color="auto" w:fill="FFFFFF"/>
        </w:rPr>
      </w:pPr>
      <w:r w:rsidRPr="00B9010D">
        <w:rPr>
          <w:rFonts w:ascii="Lato" w:hAnsi="Lato"/>
          <w:color w:val="444444"/>
          <w:sz w:val="43"/>
          <w:szCs w:val="43"/>
          <w:shd w:val="clear" w:color="auto" w:fill="FFFFFF"/>
        </w:rPr>
        <w:t>e. Management Risks: Like –</w:t>
      </w:r>
      <w:r w:rsidRPr="00B9010D">
        <w:rPr>
          <w:rFonts w:ascii="Lato" w:hAnsi="Lato"/>
          <w:color w:val="444444"/>
          <w:sz w:val="43"/>
          <w:szCs w:val="43"/>
        </w:rPr>
        <w:br/>
      </w:r>
      <w:proofErr w:type="spellStart"/>
      <w:r w:rsidRPr="00B9010D">
        <w:rPr>
          <w:rFonts w:ascii="Lato" w:hAnsi="Lato"/>
          <w:color w:val="444444"/>
          <w:sz w:val="43"/>
          <w:szCs w:val="43"/>
          <w:shd w:val="clear" w:color="auto" w:fill="FFFFFF"/>
        </w:rPr>
        <w:t>i</w:t>
      </w:r>
      <w:proofErr w:type="spellEnd"/>
      <w:r w:rsidRPr="00B9010D">
        <w:rPr>
          <w:rFonts w:ascii="Lato" w:hAnsi="Lato"/>
          <w:color w:val="444444"/>
          <w:sz w:val="43"/>
          <w:szCs w:val="43"/>
          <w:shd w:val="clear" w:color="auto" w:fill="FFFFFF"/>
        </w:rPr>
        <w:t>. Human Resources Management and enhancement</w:t>
      </w:r>
      <w:r w:rsidRPr="00B9010D">
        <w:rPr>
          <w:rFonts w:ascii="Lato" w:hAnsi="Lato"/>
          <w:color w:val="444444"/>
          <w:sz w:val="43"/>
          <w:szCs w:val="43"/>
        </w:rPr>
        <w:br/>
      </w:r>
      <w:r w:rsidRPr="00B9010D">
        <w:rPr>
          <w:rFonts w:ascii="Lato" w:hAnsi="Lato"/>
          <w:color w:val="444444"/>
          <w:sz w:val="43"/>
          <w:szCs w:val="43"/>
          <w:shd w:val="clear" w:color="auto" w:fill="FFFFFF"/>
        </w:rPr>
        <w:t xml:space="preserve">ii. </w:t>
      </w:r>
      <w:proofErr w:type="gramStart"/>
      <w:r w:rsidRPr="00B9010D">
        <w:rPr>
          <w:rFonts w:ascii="Lato" w:hAnsi="Lato"/>
          <w:color w:val="444444"/>
          <w:sz w:val="43"/>
          <w:szCs w:val="43"/>
          <w:shd w:val="clear" w:color="auto" w:fill="FFFFFF"/>
        </w:rPr>
        <w:t>Internal up gradation.</w:t>
      </w:r>
      <w:proofErr w:type="gramEnd"/>
      <w:r w:rsidRPr="00B9010D">
        <w:rPr>
          <w:rFonts w:ascii="Lato" w:hAnsi="Lato"/>
          <w:color w:val="444444"/>
          <w:sz w:val="43"/>
          <w:szCs w:val="43"/>
        </w:rPr>
        <w:br/>
      </w:r>
      <w:proofErr w:type="gramStart"/>
      <w:r w:rsidRPr="00B9010D">
        <w:rPr>
          <w:rFonts w:ascii="Lato" w:hAnsi="Lato"/>
          <w:color w:val="444444"/>
          <w:sz w:val="43"/>
          <w:szCs w:val="43"/>
          <w:shd w:val="clear" w:color="auto" w:fill="FFFFFF"/>
        </w:rPr>
        <w:t>iii</w:t>
      </w:r>
      <w:proofErr w:type="gramEnd"/>
      <w:r w:rsidRPr="00B9010D">
        <w:rPr>
          <w:rFonts w:ascii="Lato" w:hAnsi="Lato"/>
          <w:color w:val="444444"/>
          <w:sz w:val="43"/>
          <w:szCs w:val="43"/>
          <w:shd w:val="clear" w:color="auto" w:fill="FFFFFF"/>
        </w:rPr>
        <w:t>. Internal Control System.</w:t>
      </w:r>
      <w:r w:rsidRPr="00B9010D">
        <w:rPr>
          <w:rFonts w:ascii="Lato" w:hAnsi="Lato"/>
          <w:color w:val="444444"/>
          <w:sz w:val="43"/>
          <w:szCs w:val="43"/>
        </w:rPr>
        <w:br/>
      </w:r>
      <w:r w:rsidRPr="00B9010D">
        <w:rPr>
          <w:rFonts w:ascii="Lato" w:hAnsi="Lato"/>
          <w:color w:val="444444"/>
          <w:sz w:val="43"/>
          <w:szCs w:val="43"/>
          <w:shd w:val="clear" w:color="auto" w:fill="FFFFFF"/>
        </w:rPr>
        <w:t>iv. Disaster Recovery Plans.</w:t>
      </w:r>
    </w:p>
    <w:p w:rsidR="001F0654" w:rsidRPr="00B9010D" w:rsidRDefault="001F0654">
      <w:pPr>
        <w:rPr>
          <w:rFonts w:ascii="Lato" w:hAnsi="Lato"/>
          <w:color w:val="444444"/>
          <w:sz w:val="43"/>
          <w:szCs w:val="43"/>
          <w:shd w:val="clear" w:color="auto" w:fill="FFFFFF"/>
        </w:rPr>
      </w:pPr>
    </w:p>
    <w:p w:rsidR="00B9010D" w:rsidRDefault="001F0654">
      <w:pPr>
        <w:rPr>
          <w:rFonts w:ascii="Lato" w:hAnsi="Lato"/>
          <w:color w:val="444444"/>
          <w:sz w:val="43"/>
          <w:szCs w:val="43"/>
          <w:shd w:val="clear" w:color="auto" w:fill="FFFFFF"/>
        </w:rPr>
      </w:pPr>
      <w:r w:rsidRPr="00B9010D">
        <w:rPr>
          <w:rStyle w:val="Strong"/>
          <w:rFonts w:ascii="Lato" w:hAnsi="Lato"/>
          <w:color w:val="444444"/>
          <w:sz w:val="43"/>
          <w:szCs w:val="43"/>
          <w:bdr w:val="none" w:sz="0" w:space="0" w:color="auto" w:frame="1"/>
          <w:shd w:val="clear" w:color="auto" w:fill="FFFFFF"/>
        </w:rPr>
        <w:t>Concern &amp; control of identified risks &amp; risk mitigation: </w:t>
      </w:r>
      <w:r w:rsidRPr="00B9010D">
        <w:rPr>
          <w:rFonts w:ascii="Lato" w:hAnsi="Lato"/>
          <w:color w:val="444444"/>
          <w:sz w:val="43"/>
          <w:szCs w:val="43"/>
          <w:shd w:val="clear" w:color="auto" w:fill="FFFFFF"/>
        </w:rPr>
        <w:t xml:space="preserve">Every LIFE INSURANCE company has built up a Risk inventory of all the identified risks cutting across its various business units. The risks have been prioritized through a company-wise exercise. </w:t>
      </w:r>
    </w:p>
    <w:p w:rsidR="001F0654" w:rsidRPr="00B9010D" w:rsidRDefault="001F0654">
      <w:pPr>
        <w:rPr>
          <w:sz w:val="40"/>
          <w:szCs w:val="40"/>
        </w:rPr>
      </w:pPr>
      <w:r w:rsidRPr="00B9010D">
        <w:rPr>
          <w:rFonts w:ascii="Lato" w:hAnsi="Lato"/>
          <w:color w:val="444444"/>
          <w:sz w:val="43"/>
          <w:szCs w:val="43"/>
          <w:shd w:val="clear" w:color="auto" w:fill="FFFFFF"/>
        </w:rPr>
        <w:lastRenderedPageBreak/>
        <w:t>Members of senior management have undertaken the ownership of the top risks of the company and work on mitigating the same. The company has adopted risk management policies commensurate with the size and requirements of business to manage risks in different following mentioned categories</w:t>
      </w:r>
      <w:proofErr w:type="gramStart"/>
      <w:r w:rsidRPr="00B9010D">
        <w:rPr>
          <w:rFonts w:ascii="Lato" w:hAnsi="Lato"/>
          <w:color w:val="444444"/>
          <w:sz w:val="43"/>
          <w:szCs w:val="43"/>
          <w:shd w:val="clear" w:color="auto" w:fill="FFFFFF"/>
        </w:rPr>
        <w:t>:</w:t>
      </w:r>
      <w:proofErr w:type="gramEnd"/>
      <w:r w:rsidRPr="00B9010D">
        <w:rPr>
          <w:rFonts w:ascii="Lato" w:hAnsi="Lato"/>
          <w:color w:val="444444"/>
          <w:sz w:val="43"/>
          <w:szCs w:val="43"/>
        </w:rPr>
        <w:br/>
      </w:r>
      <w:r w:rsidRPr="00B9010D">
        <w:rPr>
          <w:rFonts w:ascii="Lato" w:hAnsi="Lato"/>
          <w:color w:val="444444"/>
          <w:sz w:val="43"/>
          <w:szCs w:val="43"/>
          <w:shd w:val="clear" w:color="auto" w:fill="FFFFFF"/>
        </w:rPr>
        <w:t>a. Political;</w:t>
      </w:r>
      <w:r w:rsidRPr="00B9010D">
        <w:rPr>
          <w:rFonts w:ascii="Lato" w:hAnsi="Lato"/>
          <w:color w:val="444444"/>
          <w:sz w:val="43"/>
          <w:szCs w:val="43"/>
        </w:rPr>
        <w:br/>
      </w:r>
      <w:r w:rsidRPr="00B9010D">
        <w:rPr>
          <w:rFonts w:ascii="Lato" w:hAnsi="Lato"/>
          <w:color w:val="444444"/>
          <w:sz w:val="43"/>
          <w:szCs w:val="43"/>
          <w:shd w:val="clear" w:color="auto" w:fill="FFFFFF"/>
        </w:rPr>
        <w:t>b. Foreign Exchange;</w:t>
      </w:r>
      <w:r w:rsidRPr="00B9010D">
        <w:rPr>
          <w:rFonts w:ascii="Lato" w:hAnsi="Lato"/>
          <w:color w:val="444444"/>
          <w:sz w:val="43"/>
          <w:szCs w:val="43"/>
        </w:rPr>
        <w:br/>
      </w:r>
      <w:r w:rsidRPr="00B9010D">
        <w:rPr>
          <w:rFonts w:ascii="Lato" w:hAnsi="Lato"/>
          <w:color w:val="444444"/>
          <w:sz w:val="43"/>
          <w:szCs w:val="43"/>
          <w:shd w:val="clear" w:color="auto" w:fill="FFFFFF"/>
        </w:rPr>
        <w:t>c. Credit Risks;</w:t>
      </w:r>
      <w:r w:rsidRPr="00B9010D">
        <w:rPr>
          <w:rFonts w:ascii="Lato" w:hAnsi="Lato"/>
          <w:color w:val="444444"/>
          <w:sz w:val="43"/>
          <w:szCs w:val="43"/>
        </w:rPr>
        <w:br/>
      </w:r>
      <w:r w:rsidRPr="00B9010D">
        <w:rPr>
          <w:rFonts w:ascii="Lato" w:hAnsi="Lato"/>
          <w:color w:val="444444"/>
          <w:sz w:val="43"/>
          <w:szCs w:val="43"/>
          <w:shd w:val="clear" w:color="auto" w:fill="FFFFFF"/>
        </w:rPr>
        <w:t>d. Operation Risk : Technical;</w:t>
      </w:r>
      <w:r w:rsidRPr="00B9010D">
        <w:rPr>
          <w:rFonts w:ascii="Lato" w:hAnsi="Lato"/>
          <w:color w:val="444444"/>
          <w:sz w:val="43"/>
          <w:szCs w:val="43"/>
        </w:rPr>
        <w:br/>
      </w:r>
      <w:r w:rsidRPr="00B9010D">
        <w:rPr>
          <w:rFonts w:ascii="Lato" w:hAnsi="Lato"/>
          <w:color w:val="444444"/>
          <w:sz w:val="43"/>
          <w:szCs w:val="43"/>
          <w:shd w:val="clear" w:color="auto" w:fill="FFFFFF"/>
        </w:rPr>
        <w:t>e. Operation Risk : Management;</w:t>
      </w:r>
      <w:r w:rsidRPr="00B9010D">
        <w:rPr>
          <w:rFonts w:ascii="Lato" w:hAnsi="Lato"/>
          <w:color w:val="444444"/>
          <w:sz w:val="43"/>
          <w:szCs w:val="43"/>
        </w:rPr>
        <w:br/>
      </w:r>
      <w:r w:rsidRPr="00B9010D">
        <w:rPr>
          <w:rFonts w:ascii="Lato" w:hAnsi="Lato"/>
          <w:color w:val="444444"/>
          <w:sz w:val="43"/>
          <w:szCs w:val="43"/>
          <w:shd w:val="clear" w:color="auto" w:fill="FFFFFF"/>
        </w:rPr>
        <w:t>f. Market;</w:t>
      </w:r>
      <w:r w:rsidRPr="00B9010D">
        <w:rPr>
          <w:rFonts w:ascii="Lato" w:hAnsi="Lato"/>
          <w:color w:val="444444"/>
          <w:sz w:val="43"/>
          <w:szCs w:val="43"/>
        </w:rPr>
        <w:br/>
      </w:r>
      <w:r w:rsidRPr="00B9010D">
        <w:rPr>
          <w:rFonts w:ascii="Lato" w:hAnsi="Lato"/>
          <w:color w:val="444444"/>
          <w:sz w:val="43"/>
          <w:szCs w:val="43"/>
          <w:shd w:val="clear" w:color="auto" w:fill="FFFFFF"/>
        </w:rPr>
        <w:t>g. Environment.</w:t>
      </w:r>
    </w:p>
    <w:sectPr w:rsidR="001F0654" w:rsidRPr="00B9010D" w:rsidSect="008548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a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1F0654"/>
    <w:rsid w:val="000035F5"/>
    <w:rsid w:val="001544CE"/>
    <w:rsid w:val="001F0654"/>
    <w:rsid w:val="00325108"/>
    <w:rsid w:val="00520B82"/>
    <w:rsid w:val="00626DB6"/>
    <w:rsid w:val="007D0725"/>
    <w:rsid w:val="00836701"/>
    <w:rsid w:val="00854860"/>
    <w:rsid w:val="00947BBB"/>
    <w:rsid w:val="00B9010D"/>
    <w:rsid w:val="00C31CC9"/>
    <w:rsid w:val="00C4482F"/>
    <w:rsid w:val="00F33568"/>
    <w:rsid w:val="00F4494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styleId="Strong">
    <w:name w:val="Strong"/>
    <w:basedOn w:val="DefaultParagraphFont"/>
    <w:uiPriority w:val="22"/>
    <w:qFormat/>
    <w:rsid w:val="001F0654"/>
    <w:rPr>
      <w:b/>
      <w:bCs/>
    </w:rPr>
  </w:style>
  <w:style w:type="character" w:customStyle="1" w:styleId="apple-converted-space">
    <w:name w:val="apple-converted-space"/>
    <w:basedOn w:val="DefaultParagraphFont"/>
    <w:rsid w:val="001F0654"/>
  </w:style>
</w:styles>
</file>

<file path=word/webSettings.xml><?xml version="1.0" encoding="utf-8"?>
<w:webSettings xmlns:r="http://schemas.openxmlformats.org/officeDocument/2006/relationships" xmlns:w="http://schemas.openxmlformats.org/wordprocessingml/2006/main">
  <w:divs>
    <w:div w:id="157870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3</cp:revision>
  <dcterms:created xsi:type="dcterms:W3CDTF">2019-11-11T11:34:00Z</dcterms:created>
  <dcterms:modified xsi:type="dcterms:W3CDTF">2019-11-12T10:39:00Z</dcterms:modified>
</cp:coreProperties>
</file>