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931A7D" w:rsidRDefault="00931A7D">
      <w:pPr>
        <w:rPr>
          <w:rFonts w:ascii="Georgia" w:hAnsi="Georgia"/>
          <w:sz w:val="26"/>
          <w:szCs w:val="26"/>
        </w:rPr>
      </w:pPr>
    </w:p>
    <w:p w:rsidR="00931A7D" w:rsidRPr="00931A7D" w:rsidRDefault="00931A7D" w:rsidP="00931A7D">
      <w:pPr>
        <w:shd w:val="clear" w:color="auto" w:fill="F9F9FF"/>
        <w:spacing w:before="300" w:after="150" w:line="240" w:lineRule="auto"/>
        <w:outlineLvl w:val="1"/>
        <w:rPr>
          <w:rFonts w:ascii="Georgia" w:eastAsia="Times New Roman" w:hAnsi="Georgia" w:cs="Times New Roman"/>
          <w:b/>
          <w:bCs/>
          <w:color w:val="000000"/>
          <w:sz w:val="32"/>
          <w:szCs w:val="32"/>
          <w:lang w:bidi="hi-IN"/>
        </w:rPr>
      </w:pPr>
      <w:r w:rsidRPr="00931A7D">
        <w:rPr>
          <w:rFonts w:ascii="Georgia" w:eastAsia="Times New Roman" w:hAnsi="Georgia" w:cs="Times New Roman"/>
          <w:b/>
          <w:bCs/>
          <w:color w:val="000000"/>
          <w:sz w:val="32"/>
          <w:szCs w:val="32"/>
          <w:lang w:bidi="hi-IN"/>
        </w:rPr>
        <w:t>Schedule of changes in working capital</w:t>
      </w:r>
    </w:p>
    <w:p w:rsidR="00931A7D" w:rsidRPr="00931A7D" w:rsidRDefault="00931A7D" w:rsidP="00931A7D">
      <w:pPr>
        <w:jc w:val="both"/>
        <w:rPr>
          <w:rFonts w:ascii="Georgia" w:hAnsi="Georgia"/>
          <w:color w:val="000000"/>
          <w:sz w:val="24"/>
          <w:szCs w:val="24"/>
          <w:shd w:val="clear" w:color="auto" w:fill="F8F8FF"/>
        </w:rPr>
      </w:pPr>
      <w:r w:rsidRPr="00931A7D">
        <w:rPr>
          <w:rFonts w:ascii="Georgia" w:hAnsi="Georgia"/>
          <w:color w:val="000000"/>
          <w:sz w:val="24"/>
          <w:szCs w:val="24"/>
          <w:shd w:val="clear" w:color="auto" w:fill="F8F8FF"/>
        </w:rPr>
        <w:t>The information relating to the changes in current natured accounts between two periods of time presented in the form of a statement is what we call the schedule/statement of changes in working capital.</w:t>
      </w:r>
    </w:p>
    <w:p w:rsidR="00931A7D" w:rsidRPr="00931A7D" w:rsidRDefault="00931A7D" w:rsidP="00931A7D">
      <w:pPr>
        <w:pStyle w:val="Heading2"/>
        <w:shd w:val="clear" w:color="auto" w:fill="F9F9FF"/>
        <w:spacing w:before="300" w:beforeAutospacing="0" w:after="150" w:afterAutospacing="0"/>
        <w:rPr>
          <w:rFonts w:ascii="Georgia" w:hAnsi="Georgia"/>
          <w:color w:val="000000"/>
          <w:sz w:val="28"/>
          <w:szCs w:val="28"/>
        </w:rPr>
      </w:pPr>
      <w:r w:rsidRPr="00931A7D">
        <w:rPr>
          <w:rFonts w:ascii="Georgia" w:hAnsi="Georgia"/>
          <w:color w:val="000000"/>
          <w:sz w:val="28"/>
          <w:szCs w:val="28"/>
        </w:rPr>
        <w:t>Preparing the Schedule/Statement of changes in working capital</w:t>
      </w:r>
    </w:p>
    <w:p w:rsidR="00931A7D" w:rsidRPr="00931A7D" w:rsidRDefault="00931A7D">
      <w:pPr>
        <w:rPr>
          <w:rFonts w:ascii="Georgia" w:hAnsi="Georgia"/>
          <w:color w:val="000000"/>
          <w:sz w:val="24"/>
          <w:szCs w:val="24"/>
          <w:shd w:val="clear" w:color="auto" w:fill="F8F8FF"/>
        </w:rPr>
      </w:pPr>
      <w:r w:rsidRPr="00931A7D">
        <w:rPr>
          <w:rFonts w:ascii="Georgia" w:hAnsi="Georgia"/>
          <w:color w:val="000000"/>
          <w:sz w:val="24"/>
          <w:szCs w:val="24"/>
          <w:shd w:val="clear" w:color="auto" w:fill="F8F8FF"/>
        </w:rPr>
        <w:t>Preparing the schedule/statement of changes in working capital requires us to present the information relating to the current area of the balance sheets pertaining to the two periods in the format given below and deriving and presenting the changes within them.</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451"/>
        <w:gridCol w:w="1529"/>
        <w:gridCol w:w="1579"/>
        <w:gridCol w:w="1473"/>
        <w:gridCol w:w="1568"/>
      </w:tblGrid>
      <w:tr w:rsidR="00931A7D" w:rsidRPr="00931A7D" w:rsidTr="00931A7D">
        <w:tc>
          <w:tcPr>
            <w:tcW w:w="0" w:type="auto"/>
            <w:gridSpan w:val="5"/>
            <w:tcMar>
              <w:top w:w="75" w:type="dxa"/>
              <w:left w:w="30" w:type="dxa"/>
              <w:bottom w:w="75" w:type="dxa"/>
              <w:right w:w="30" w:type="dxa"/>
            </w:tcMar>
            <w:vAlign w:val="center"/>
            <w:hideMark/>
          </w:tcPr>
          <w:p w:rsidR="00931A7D" w:rsidRPr="00931A7D" w:rsidRDefault="00931A7D" w:rsidP="00931A7D">
            <w:pPr>
              <w:spacing w:after="0" w:line="240" w:lineRule="auto"/>
              <w:jc w:val="center"/>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Schedule/Statement of Changes in Working Capital for the period from __ to __</w:t>
            </w:r>
          </w:p>
        </w:tc>
      </w:tr>
      <w:tr w:rsidR="00931A7D" w:rsidRPr="00931A7D" w:rsidTr="00931A7D">
        <w:tc>
          <w:tcPr>
            <w:tcW w:w="0" w:type="auto"/>
            <w:vMerge w:val="restart"/>
            <w:vAlign w:val="center"/>
            <w:hideMark/>
          </w:tcPr>
          <w:p w:rsidR="00931A7D" w:rsidRPr="00931A7D" w:rsidRDefault="00931A7D" w:rsidP="00931A7D">
            <w:pPr>
              <w:spacing w:after="0" w:line="240" w:lineRule="auto"/>
              <w:jc w:val="center"/>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Particulars/Account</w:t>
            </w:r>
          </w:p>
        </w:tc>
        <w:tc>
          <w:tcPr>
            <w:tcW w:w="0" w:type="auto"/>
            <w:gridSpan w:val="2"/>
            <w:vAlign w:val="center"/>
            <w:hideMark/>
          </w:tcPr>
          <w:p w:rsidR="00931A7D" w:rsidRPr="00931A7D" w:rsidRDefault="00931A7D" w:rsidP="00931A7D">
            <w:pPr>
              <w:spacing w:after="0" w:line="240" w:lineRule="auto"/>
              <w:jc w:val="center"/>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Balance as on 31</w:t>
            </w:r>
            <w:r w:rsidRPr="00931A7D">
              <w:rPr>
                <w:rFonts w:ascii="Georgia" w:eastAsia="Times New Roman" w:hAnsi="Georgia" w:cs="Times New Roman"/>
                <w:b/>
                <w:bCs/>
                <w:color w:val="222222"/>
                <w:sz w:val="21"/>
                <w:szCs w:val="21"/>
                <w:vertAlign w:val="superscript"/>
                <w:lang w:bidi="hi-IN"/>
              </w:rPr>
              <w:t>st</w:t>
            </w:r>
            <w:r w:rsidRPr="00931A7D">
              <w:rPr>
                <w:rFonts w:ascii="Georgia" w:eastAsia="Times New Roman" w:hAnsi="Georgia" w:cs="Times New Roman"/>
                <w:b/>
                <w:bCs/>
                <w:color w:val="222222"/>
                <w:sz w:val="21"/>
                <w:szCs w:val="26"/>
                <w:lang w:bidi="hi-IN"/>
              </w:rPr>
              <w:t> </w:t>
            </w:r>
            <w:r w:rsidRPr="00931A7D">
              <w:rPr>
                <w:rFonts w:ascii="Georgia" w:eastAsia="Times New Roman" w:hAnsi="Georgia" w:cs="Times New Roman"/>
                <w:b/>
                <w:bCs/>
                <w:color w:val="222222"/>
                <w:sz w:val="21"/>
                <w:szCs w:val="21"/>
                <w:lang w:bidi="hi-IN"/>
              </w:rPr>
              <w:t>March</w:t>
            </w:r>
          </w:p>
        </w:tc>
        <w:tc>
          <w:tcPr>
            <w:tcW w:w="0" w:type="auto"/>
            <w:gridSpan w:val="2"/>
            <w:vAlign w:val="center"/>
            <w:hideMark/>
          </w:tcPr>
          <w:p w:rsidR="00931A7D" w:rsidRPr="00931A7D" w:rsidRDefault="00931A7D" w:rsidP="00931A7D">
            <w:pPr>
              <w:spacing w:after="0" w:line="240" w:lineRule="auto"/>
              <w:jc w:val="center"/>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Working Capital Change</w:t>
            </w:r>
          </w:p>
        </w:tc>
      </w:tr>
      <w:tr w:rsidR="00931A7D" w:rsidRPr="00931A7D" w:rsidTr="00931A7D">
        <w:tc>
          <w:tcPr>
            <w:tcW w:w="0" w:type="auto"/>
            <w:vMerge/>
            <w:vAlign w:val="center"/>
            <w:hideMark/>
          </w:tcPr>
          <w:p w:rsidR="00931A7D" w:rsidRPr="00931A7D" w:rsidRDefault="00931A7D" w:rsidP="00931A7D">
            <w:pPr>
              <w:spacing w:after="0" w:line="240" w:lineRule="auto"/>
              <w:rPr>
                <w:rFonts w:ascii="Georgia" w:eastAsia="Times New Roman" w:hAnsi="Georgia" w:cs="Times New Roman"/>
                <w:b/>
                <w:bCs/>
                <w:color w:val="222222"/>
                <w:sz w:val="21"/>
                <w:szCs w:val="21"/>
                <w:lang w:bidi="hi-IN"/>
              </w:rPr>
            </w:pP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2007</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2008</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Increase</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b/>
                <w:bCs/>
                <w:color w:val="222222"/>
                <w:sz w:val="21"/>
                <w:szCs w:val="21"/>
                <w:lang w:bidi="hi-IN"/>
              </w:rPr>
            </w:pPr>
            <w:r w:rsidRPr="00931A7D">
              <w:rPr>
                <w:rFonts w:ascii="Georgia" w:eastAsia="Times New Roman" w:hAnsi="Georgia" w:cs="Times New Roman"/>
                <w:b/>
                <w:bCs/>
                <w:color w:val="222222"/>
                <w:sz w:val="21"/>
                <w:szCs w:val="21"/>
                <w:lang w:bidi="hi-IN"/>
              </w:rPr>
              <w:t>Decrease</w:t>
            </w:r>
          </w:p>
        </w:tc>
      </w:tr>
      <w:tr w:rsidR="00931A7D" w:rsidRPr="00931A7D" w:rsidTr="00931A7D">
        <w:tc>
          <w:tcPr>
            <w:tcW w:w="0" w:type="auto"/>
            <w:hideMark/>
          </w:tcPr>
          <w:p w:rsidR="00931A7D" w:rsidRPr="00931A7D" w:rsidRDefault="00931A7D" w:rsidP="00931A7D">
            <w:pPr>
              <w:spacing w:after="0" w:line="240" w:lineRule="auto"/>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a) CURRENT ASSETS</w:t>
            </w:r>
          </w:p>
          <w:p w:rsidR="00931A7D" w:rsidRPr="00931A7D" w:rsidRDefault="00931A7D" w:rsidP="00931A7D">
            <w:pPr>
              <w:spacing w:after="0" w:line="240" w:lineRule="auto"/>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1) Cash Balance</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 Bills Receivable</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3) Sundry Debtors</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4) Stocks/Inventories</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5) Prepaid Expenses</w:t>
            </w:r>
          </w:p>
        </w:tc>
        <w:tc>
          <w:tcPr>
            <w:tcW w:w="0" w:type="auto"/>
            <w:tcMar>
              <w:top w:w="60" w:type="dxa"/>
              <w:left w:w="60" w:type="dxa"/>
              <w:bottom w:w="60" w:type="dxa"/>
              <w:right w:w="150" w:type="dxa"/>
            </w:tcMa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56,000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5,75,000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9,15,000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9,48,000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3,24,000</w:t>
            </w:r>
          </w:p>
        </w:tc>
        <w:tc>
          <w:tcPr>
            <w:tcW w:w="0" w:type="auto"/>
            <w:tcMar>
              <w:top w:w="60" w:type="dxa"/>
              <w:left w:w="60" w:type="dxa"/>
              <w:bottom w:w="60" w:type="dxa"/>
              <w:right w:w="150" w:type="dxa"/>
            </w:tcMa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78,000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8,25,000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12,25,000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12,00,000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2,84,000</w:t>
            </w:r>
          </w:p>
        </w:tc>
        <w:tc>
          <w:tcPr>
            <w:tcW w:w="0" w:type="auto"/>
            <w:tcMar>
              <w:top w:w="60" w:type="dxa"/>
              <w:left w:w="60" w:type="dxa"/>
              <w:bottom w:w="60" w:type="dxa"/>
              <w:right w:w="150" w:type="dxa"/>
            </w:tcMa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22,000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2,50,000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3,10,000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2,52,000</w:t>
            </w:r>
            <w:r w:rsidRPr="00931A7D">
              <w:rPr>
                <w:rFonts w:ascii="Georgia" w:eastAsia="Times New Roman" w:hAnsi="Georgia" w:cs="Times New Roman"/>
                <w:color w:val="000000"/>
                <w:sz w:val="21"/>
                <w:szCs w:val="26"/>
                <w:lang w:bidi="hi-IN"/>
              </w:rPr>
              <w:t> </w:t>
            </w:r>
          </w:p>
        </w:tc>
        <w:tc>
          <w:tcPr>
            <w:tcW w:w="0" w:type="auto"/>
            <w:tcMar>
              <w:top w:w="60" w:type="dxa"/>
              <w:left w:w="60" w:type="dxa"/>
              <w:bottom w:w="60" w:type="dxa"/>
              <w:right w:w="150" w:type="dxa"/>
            </w:tcMa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t>40,000</w:t>
            </w:r>
          </w:p>
        </w:tc>
      </w:tr>
      <w:tr w:rsidR="00931A7D" w:rsidRPr="00931A7D" w:rsidTr="00931A7D">
        <w:tc>
          <w:tcPr>
            <w:tcW w:w="0" w:type="auto"/>
            <w:vAlign w:val="center"/>
            <w:hideMark/>
          </w:tcPr>
          <w:p w:rsidR="00931A7D" w:rsidRPr="00931A7D" w:rsidRDefault="00931A7D" w:rsidP="00931A7D">
            <w:pPr>
              <w:spacing w:after="0" w:line="240" w:lineRule="auto"/>
              <w:jc w:val="center"/>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TOTAL</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28,18,000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36,12,000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8,34,000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40,000</w:t>
            </w:r>
          </w:p>
        </w:tc>
      </w:tr>
      <w:tr w:rsidR="00931A7D" w:rsidRPr="00931A7D" w:rsidTr="00931A7D">
        <w:tc>
          <w:tcPr>
            <w:tcW w:w="0" w:type="auto"/>
            <w:vAlign w:val="center"/>
            <w:hideMark/>
          </w:tcPr>
          <w:p w:rsidR="00931A7D" w:rsidRPr="00931A7D" w:rsidRDefault="00931A7D" w:rsidP="00931A7D">
            <w:pPr>
              <w:spacing w:after="0" w:line="240" w:lineRule="auto"/>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b) CURRENT LIABILITIES</w:t>
            </w:r>
          </w:p>
          <w:p w:rsidR="00931A7D" w:rsidRPr="00931A7D" w:rsidRDefault="00931A7D" w:rsidP="00931A7D">
            <w:pPr>
              <w:spacing w:after="0" w:line="240" w:lineRule="auto"/>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1) Sundry Creditors</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 Bills Payable</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3) Bank Overdraft</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4) Outstanding Expenses</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5) Provision for Taxation</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6) Provision for Dividends</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7) Reserve for Bad Debts</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7,40,000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2,20,000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2,81,000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1,23,000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2,38,000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1,98,000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18,000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11,00,000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4,00,000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2,50,000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1,00,000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3,00,000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2,50,000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12,000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t>31,000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23,000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t>6,000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br/>
              <w:t>3,60,000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1,80,000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r>
            <w:r w:rsidRPr="00931A7D">
              <w:rPr>
                <w:rFonts w:ascii="Georgia" w:eastAsia="Times New Roman" w:hAnsi="Georgia" w:cs="Times New Roman"/>
                <w:color w:val="000000"/>
                <w:sz w:val="21"/>
                <w:szCs w:val="21"/>
                <w:lang w:bidi="hi-IN"/>
              </w:rPr>
              <w:br/>
              <w:t>62,000</w:t>
            </w:r>
            <w:r w:rsidRPr="00931A7D">
              <w:rPr>
                <w:rFonts w:ascii="Georgia" w:eastAsia="Times New Roman" w:hAnsi="Georgia" w:cs="Times New Roman"/>
                <w:color w:val="000000"/>
                <w:sz w:val="21"/>
                <w:szCs w:val="26"/>
                <w:lang w:bidi="hi-IN"/>
              </w:rPr>
              <w:t> </w:t>
            </w:r>
            <w:r w:rsidRPr="00931A7D">
              <w:rPr>
                <w:rFonts w:ascii="Georgia" w:eastAsia="Times New Roman" w:hAnsi="Georgia" w:cs="Times New Roman"/>
                <w:color w:val="000000"/>
                <w:sz w:val="21"/>
                <w:szCs w:val="21"/>
                <w:lang w:bidi="hi-IN"/>
              </w:rPr>
              <w:br/>
              <w:t>52,000</w:t>
            </w:r>
            <w:r w:rsidRPr="00931A7D">
              <w:rPr>
                <w:rFonts w:ascii="Georgia" w:eastAsia="Times New Roman" w:hAnsi="Georgia" w:cs="Times New Roman"/>
                <w:color w:val="000000"/>
                <w:sz w:val="21"/>
                <w:szCs w:val="26"/>
                <w:lang w:bidi="hi-IN"/>
              </w:rPr>
              <w:t> </w:t>
            </w:r>
          </w:p>
        </w:tc>
      </w:tr>
      <w:tr w:rsidR="00931A7D" w:rsidRPr="00931A7D" w:rsidTr="00931A7D">
        <w:tc>
          <w:tcPr>
            <w:tcW w:w="0" w:type="auto"/>
            <w:vAlign w:val="center"/>
            <w:hideMark/>
          </w:tcPr>
          <w:p w:rsidR="00931A7D" w:rsidRPr="00931A7D" w:rsidRDefault="00931A7D" w:rsidP="00931A7D">
            <w:pPr>
              <w:spacing w:after="0" w:line="240" w:lineRule="auto"/>
              <w:jc w:val="center"/>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TOTAL</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18,18,000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24,12,000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60,000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6,72,000</w:t>
            </w:r>
          </w:p>
        </w:tc>
      </w:tr>
      <w:tr w:rsidR="00931A7D" w:rsidRPr="00931A7D" w:rsidTr="00931A7D">
        <w:tc>
          <w:tcPr>
            <w:tcW w:w="0" w:type="auto"/>
            <w:vAlign w:val="center"/>
            <w:hideMark/>
          </w:tcPr>
          <w:p w:rsidR="00931A7D" w:rsidRPr="00931A7D" w:rsidRDefault="00931A7D" w:rsidP="00931A7D">
            <w:pPr>
              <w:spacing w:after="0" w:line="240" w:lineRule="auto"/>
              <w:jc w:val="center"/>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Working Capital [(a) - (b)]</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10,00,000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12,00,000</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p>
        </w:tc>
      </w:tr>
      <w:tr w:rsidR="00931A7D" w:rsidRPr="00931A7D" w:rsidTr="00931A7D">
        <w:tc>
          <w:tcPr>
            <w:tcW w:w="0" w:type="auto"/>
            <w:gridSpan w:val="3"/>
            <w:tcMar>
              <w:top w:w="60" w:type="dxa"/>
              <w:left w:w="60" w:type="dxa"/>
              <w:bottom w:w="60" w:type="dxa"/>
              <w:right w:w="30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TOTAL</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8,94,000</w:t>
            </w:r>
          </w:p>
        </w:tc>
        <w:tc>
          <w:tcPr>
            <w:tcW w:w="0" w:type="auto"/>
            <w:tcMar>
              <w:top w:w="60" w:type="dxa"/>
              <w:left w:w="60" w:type="dxa"/>
              <w:bottom w:w="60" w:type="dxa"/>
              <w:right w:w="30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6,94,000</w:t>
            </w:r>
          </w:p>
        </w:tc>
      </w:tr>
      <w:tr w:rsidR="00931A7D" w:rsidRPr="00931A7D" w:rsidTr="00931A7D">
        <w:tc>
          <w:tcPr>
            <w:tcW w:w="0" w:type="auto"/>
            <w:gridSpan w:val="3"/>
            <w:tcMar>
              <w:top w:w="60" w:type="dxa"/>
              <w:left w:w="60" w:type="dxa"/>
              <w:bottom w:w="60" w:type="dxa"/>
              <w:right w:w="30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Net Change in Working Capital</w:t>
            </w:r>
          </w:p>
        </w:tc>
        <w:tc>
          <w:tcPr>
            <w:tcW w:w="0" w:type="auto"/>
            <w:tcMar>
              <w:top w:w="60" w:type="dxa"/>
              <w:left w:w="60" w:type="dxa"/>
              <w:bottom w:w="60" w:type="dxa"/>
              <w:right w:w="15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r w:rsidRPr="00931A7D">
              <w:rPr>
                <w:rFonts w:ascii="Georgia" w:eastAsia="Times New Roman" w:hAnsi="Georgia" w:cs="Times New Roman"/>
                <w:color w:val="000000"/>
                <w:sz w:val="21"/>
                <w:szCs w:val="21"/>
                <w:lang w:bidi="hi-IN"/>
              </w:rPr>
              <w:t>2,00,000</w:t>
            </w:r>
          </w:p>
        </w:tc>
        <w:tc>
          <w:tcPr>
            <w:tcW w:w="0" w:type="auto"/>
            <w:tcMar>
              <w:top w:w="60" w:type="dxa"/>
              <w:left w:w="60" w:type="dxa"/>
              <w:bottom w:w="60" w:type="dxa"/>
              <w:right w:w="300" w:type="dxa"/>
            </w:tcMar>
            <w:vAlign w:val="center"/>
            <w:hideMark/>
          </w:tcPr>
          <w:p w:rsidR="00931A7D" w:rsidRPr="00931A7D" w:rsidRDefault="00931A7D" w:rsidP="00931A7D">
            <w:pPr>
              <w:spacing w:after="0" w:line="240" w:lineRule="auto"/>
              <w:jc w:val="right"/>
              <w:rPr>
                <w:rFonts w:ascii="Georgia" w:eastAsia="Times New Roman" w:hAnsi="Georgia" w:cs="Times New Roman"/>
                <w:color w:val="000000"/>
                <w:sz w:val="21"/>
                <w:szCs w:val="21"/>
                <w:lang w:bidi="hi-IN"/>
              </w:rPr>
            </w:pPr>
          </w:p>
        </w:tc>
      </w:tr>
    </w:tbl>
    <w:p w:rsidR="00931A7D" w:rsidRPr="00931A7D" w:rsidRDefault="00931A7D" w:rsidP="00931A7D">
      <w:pPr>
        <w:numPr>
          <w:ilvl w:val="0"/>
          <w:numId w:val="1"/>
        </w:numPr>
        <w:spacing w:after="0" w:line="240" w:lineRule="auto"/>
        <w:jc w:val="both"/>
        <w:rPr>
          <w:rFonts w:ascii="Georgia" w:eastAsia="Times New Roman" w:hAnsi="Georgia" w:cs="Times New Roman"/>
          <w:sz w:val="28"/>
          <w:szCs w:val="28"/>
          <w:lang w:bidi="hi-IN"/>
        </w:rPr>
      </w:pPr>
      <w:r w:rsidRPr="00931A7D">
        <w:rPr>
          <w:rFonts w:ascii="Georgia" w:eastAsia="Times New Roman" w:hAnsi="Georgia" w:cs="Times New Roman"/>
          <w:sz w:val="28"/>
          <w:szCs w:val="28"/>
          <w:lang w:bidi="hi-IN"/>
        </w:rPr>
        <w:t>Identify all the Current natured accounts on the assets as well as the liabilities sides of the two balance sheets in consideration.</w:t>
      </w:r>
    </w:p>
    <w:p w:rsidR="00931A7D" w:rsidRPr="00931A7D" w:rsidRDefault="00931A7D" w:rsidP="00931A7D">
      <w:pPr>
        <w:spacing w:line="240" w:lineRule="auto"/>
        <w:jc w:val="both"/>
        <w:rPr>
          <w:rFonts w:ascii="Georgia" w:hAnsi="Georgia" w:cs="Segoe UI"/>
          <w:sz w:val="28"/>
          <w:szCs w:val="28"/>
          <w:shd w:val="clear" w:color="auto" w:fill="F8F9FA"/>
        </w:rPr>
      </w:pPr>
      <w:r w:rsidRPr="00931A7D">
        <w:rPr>
          <w:rFonts w:ascii="Georgia" w:hAnsi="Georgia" w:cs="Segoe UI"/>
          <w:sz w:val="28"/>
          <w:szCs w:val="28"/>
          <w:shd w:val="clear" w:color="auto" w:fill="F8F9FA"/>
        </w:rPr>
        <w:t>In</w:t>
      </w:r>
      <w:r w:rsidRPr="00931A7D">
        <w:rPr>
          <w:rStyle w:val="apple-converted-space"/>
          <w:rFonts w:ascii="Georgia" w:hAnsi="Georgia" w:cs="Segoe UI"/>
          <w:sz w:val="28"/>
          <w:szCs w:val="28"/>
          <w:shd w:val="clear" w:color="auto" w:fill="F8F9FA"/>
        </w:rPr>
        <w:t> </w:t>
      </w:r>
      <w:hyperlink r:id="rId5" w:tooltip="" w:history="1">
        <w:r w:rsidRPr="00931A7D">
          <w:rPr>
            <w:rStyle w:val="Hyperlink"/>
            <w:rFonts w:ascii="Georgia" w:hAnsi="Georgia" w:cs="Segoe UI"/>
            <w:color w:val="auto"/>
            <w:sz w:val="28"/>
            <w:szCs w:val="28"/>
            <w:u w:val="none"/>
          </w:rPr>
          <w:t>financial modeling</w:t>
        </w:r>
      </w:hyperlink>
      <w:r w:rsidRPr="00931A7D">
        <w:rPr>
          <w:rStyle w:val="apple-converted-space"/>
          <w:rFonts w:ascii="Georgia" w:hAnsi="Georgia" w:cs="Segoe UI"/>
          <w:sz w:val="28"/>
          <w:szCs w:val="28"/>
          <w:shd w:val="clear" w:color="auto" w:fill="F8F9FA"/>
        </w:rPr>
        <w:t> </w:t>
      </w:r>
      <w:r w:rsidRPr="00931A7D">
        <w:rPr>
          <w:rFonts w:ascii="Georgia" w:hAnsi="Georgia" w:cs="Segoe UI"/>
          <w:sz w:val="28"/>
          <w:szCs w:val="28"/>
          <w:shd w:val="clear" w:color="auto" w:fill="F8F9FA"/>
        </w:rPr>
        <w:t>working capital changes can have a big impact on cash from operations,</w:t>
      </w:r>
      <w:r w:rsidRPr="00931A7D">
        <w:rPr>
          <w:rStyle w:val="apple-converted-space"/>
          <w:rFonts w:ascii="Georgia" w:hAnsi="Georgia" w:cs="Segoe UI"/>
          <w:sz w:val="28"/>
          <w:szCs w:val="28"/>
          <w:shd w:val="clear" w:color="auto" w:fill="F8F9FA"/>
        </w:rPr>
        <w:t> </w:t>
      </w:r>
      <w:hyperlink r:id="rId6" w:tooltip="" w:history="1">
        <w:r w:rsidRPr="00931A7D">
          <w:rPr>
            <w:rStyle w:val="Hyperlink"/>
            <w:rFonts w:ascii="Georgia" w:hAnsi="Georgia" w:cs="Segoe UI"/>
            <w:color w:val="auto"/>
            <w:sz w:val="28"/>
            <w:szCs w:val="28"/>
            <w:u w:val="none"/>
          </w:rPr>
          <w:t>free cash flow</w:t>
        </w:r>
      </w:hyperlink>
      <w:r w:rsidRPr="00931A7D">
        <w:rPr>
          <w:rFonts w:ascii="Georgia" w:hAnsi="Georgia" w:cs="Segoe UI"/>
          <w:sz w:val="28"/>
          <w:szCs w:val="28"/>
          <w:shd w:val="clear" w:color="auto" w:fill="F8F9FA"/>
        </w:rPr>
        <w:t>, and the resulting valuation of a business. If a business experiences an increase in</w:t>
      </w:r>
      <w:r w:rsidRPr="00931A7D">
        <w:rPr>
          <w:rStyle w:val="apple-converted-space"/>
          <w:rFonts w:ascii="Georgia" w:hAnsi="Georgia" w:cs="Segoe UI"/>
          <w:sz w:val="28"/>
          <w:szCs w:val="28"/>
          <w:shd w:val="clear" w:color="auto" w:fill="F8F9FA"/>
        </w:rPr>
        <w:t> </w:t>
      </w:r>
      <w:hyperlink r:id="rId7" w:tooltip="" w:history="1">
        <w:r w:rsidRPr="00931A7D">
          <w:rPr>
            <w:rStyle w:val="Hyperlink"/>
            <w:rFonts w:ascii="Georgia" w:hAnsi="Georgia" w:cs="Segoe UI"/>
            <w:color w:val="auto"/>
            <w:sz w:val="28"/>
            <w:szCs w:val="28"/>
            <w:u w:val="none"/>
          </w:rPr>
          <w:t>accounts receivable</w:t>
        </w:r>
      </w:hyperlink>
      <w:r w:rsidRPr="00931A7D">
        <w:rPr>
          <w:rFonts w:ascii="Georgia" w:hAnsi="Georgia" w:cs="Segoe UI"/>
          <w:sz w:val="28"/>
          <w:szCs w:val="28"/>
          <w:shd w:val="clear" w:color="auto" w:fill="F8F9FA"/>
        </w:rPr>
        <w:t xml:space="preserve">, it means it has not collected payment on a portion of its revenue, which causes cash flow to decrease. Conversely, if a company has an increase </w:t>
      </w:r>
      <w:r w:rsidRPr="00931A7D">
        <w:rPr>
          <w:rFonts w:ascii="Georgia" w:hAnsi="Georgia" w:cs="Segoe UI"/>
          <w:sz w:val="28"/>
          <w:szCs w:val="28"/>
          <w:shd w:val="clear" w:color="auto" w:fill="F8F9FA"/>
        </w:rPr>
        <w:lastRenderedPageBreak/>
        <w:t>in</w:t>
      </w:r>
      <w:r w:rsidRPr="00931A7D">
        <w:rPr>
          <w:rStyle w:val="apple-converted-space"/>
          <w:rFonts w:ascii="Georgia" w:hAnsi="Georgia" w:cs="Segoe UI"/>
          <w:sz w:val="28"/>
          <w:szCs w:val="28"/>
          <w:shd w:val="clear" w:color="auto" w:fill="F8F9FA"/>
        </w:rPr>
        <w:t> </w:t>
      </w:r>
      <w:hyperlink r:id="rId8" w:tooltip="" w:history="1">
        <w:r w:rsidRPr="00931A7D">
          <w:rPr>
            <w:rStyle w:val="Hyperlink"/>
            <w:rFonts w:ascii="Georgia" w:hAnsi="Georgia" w:cs="Segoe UI"/>
            <w:color w:val="auto"/>
            <w:sz w:val="28"/>
            <w:szCs w:val="28"/>
            <w:u w:val="none"/>
          </w:rPr>
          <w:t>accounts payable</w:t>
        </w:r>
      </w:hyperlink>
      <w:r w:rsidRPr="00931A7D">
        <w:rPr>
          <w:rFonts w:ascii="Georgia" w:hAnsi="Georgia" w:cs="Segoe UI"/>
          <w:sz w:val="28"/>
          <w:szCs w:val="28"/>
          <w:shd w:val="clear" w:color="auto" w:fill="F8F9FA"/>
        </w:rPr>
        <w:t>, it means the company has expenses it has not paid for which causes cash flow to increase. The net effect of changes in</w:t>
      </w:r>
      <w:r w:rsidRPr="00931A7D">
        <w:rPr>
          <w:rStyle w:val="apple-converted-space"/>
          <w:rFonts w:ascii="Georgia" w:hAnsi="Georgia" w:cs="Segoe UI"/>
          <w:sz w:val="28"/>
          <w:szCs w:val="28"/>
          <w:shd w:val="clear" w:color="auto" w:fill="F8F9FA"/>
        </w:rPr>
        <w:t> </w:t>
      </w:r>
      <w:hyperlink r:id="rId9" w:tooltip="" w:history="1">
        <w:r w:rsidRPr="00931A7D">
          <w:rPr>
            <w:rStyle w:val="Hyperlink"/>
            <w:rFonts w:ascii="Georgia" w:hAnsi="Georgia" w:cs="Segoe UI"/>
            <w:color w:val="auto"/>
            <w:sz w:val="28"/>
            <w:szCs w:val="28"/>
            <w:u w:val="none"/>
          </w:rPr>
          <w:t>current assets</w:t>
        </w:r>
      </w:hyperlink>
      <w:r w:rsidRPr="00931A7D">
        <w:rPr>
          <w:rStyle w:val="apple-converted-space"/>
          <w:rFonts w:ascii="Georgia" w:hAnsi="Georgia" w:cs="Segoe UI"/>
          <w:sz w:val="28"/>
          <w:szCs w:val="28"/>
          <w:shd w:val="clear" w:color="auto" w:fill="F8F9FA"/>
        </w:rPr>
        <w:t> </w:t>
      </w:r>
      <w:r w:rsidRPr="00931A7D">
        <w:rPr>
          <w:rFonts w:ascii="Georgia" w:hAnsi="Georgia" w:cs="Segoe UI"/>
          <w:sz w:val="28"/>
          <w:szCs w:val="28"/>
          <w:shd w:val="clear" w:color="auto" w:fill="F8F9FA"/>
        </w:rPr>
        <w:t>and</w:t>
      </w:r>
      <w:r w:rsidRPr="00931A7D">
        <w:rPr>
          <w:rStyle w:val="apple-converted-space"/>
          <w:rFonts w:ascii="Georgia" w:hAnsi="Georgia" w:cs="Segoe UI"/>
          <w:sz w:val="28"/>
          <w:szCs w:val="28"/>
          <w:shd w:val="clear" w:color="auto" w:fill="F8F9FA"/>
        </w:rPr>
        <w:t> </w:t>
      </w:r>
      <w:hyperlink r:id="rId10" w:tooltip="" w:history="1">
        <w:r w:rsidRPr="00931A7D">
          <w:rPr>
            <w:rStyle w:val="Hyperlink"/>
            <w:rFonts w:ascii="Georgia" w:hAnsi="Georgia" w:cs="Segoe UI"/>
            <w:color w:val="auto"/>
            <w:sz w:val="28"/>
            <w:szCs w:val="28"/>
            <w:u w:val="none"/>
          </w:rPr>
          <w:t>current liabilities</w:t>
        </w:r>
      </w:hyperlink>
      <w:r w:rsidRPr="00931A7D">
        <w:rPr>
          <w:rStyle w:val="apple-converted-space"/>
          <w:rFonts w:ascii="Georgia" w:hAnsi="Georgia" w:cs="Segoe UI"/>
          <w:sz w:val="28"/>
          <w:szCs w:val="28"/>
          <w:shd w:val="clear" w:color="auto" w:fill="F8F9FA"/>
        </w:rPr>
        <w:t> </w:t>
      </w:r>
      <w:r w:rsidRPr="00931A7D">
        <w:rPr>
          <w:rFonts w:ascii="Georgia" w:hAnsi="Georgia" w:cs="Segoe UI"/>
          <w:sz w:val="28"/>
          <w:szCs w:val="28"/>
          <w:shd w:val="clear" w:color="auto" w:fill="F8F9FA"/>
        </w:rPr>
        <w:t>is what makes up the working capital impact in financial modeling.</w:t>
      </w:r>
    </w:p>
    <w:p w:rsidR="00931A7D" w:rsidRPr="00931A7D" w:rsidRDefault="00931A7D" w:rsidP="00931A7D">
      <w:pPr>
        <w:pStyle w:val="Heading3"/>
        <w:spacing w:line="240" w:lineRule="auto"/>
        <w:jc w:val="both"/>
        <w:rPr>
          <w:rFonts w:ascii="Georgia" w:hAnsi="Georgia" w:cs="Arial"/>
          <w:color w:val="auto"/>
          <w:sz w:val="28"/>
          <w:szCs w:val="28"/>
        </w:rPr>
      </w:pPr>
      <w:r w:rsidRPr="00931A7D">
        <w:rPr>
          <w:rFonts w:ascii="Georgia" w:hAnsi="Georgia" w:cs="Arial"/>
          <w:color w:val="auto"/>
          <w:sz w:val="28"/>
          <w:szCs w:val="28"/>
        </w:rPr>
        <w:t>Is it good to have a large amount of working capital?</w:t>
      </w:r>
    </w:p>
    <w:p w:rsidR="00931A7D" w:rsidRPr="00931A7D" w:rsidRDefault="00931A7D" w:rsidP="00931A7D">
      <w:pPr>
        <w:pStyle w:val="NormalWeb"/>
        <w:jc w:val="both"/>
        <w:rPr>
          <w:rFonts w:ascii="Georgia" w:hAnsi="Georgia" w:cs="Arial"/>
          <w:sz w:val="28"/>
          <w:szCs w:val="28"/>
        </w:rPr>
      </w:pPr>
      <w:r w:rsidRPr="00931A7D">
        <w:rPr>
          <w:rFonts w:ascii="Georgia" w:hAnsi="Georgia" w:cs="Arial"/>
          <w:sz w:val="28"/>
          <w:szCs w:val="28"/>
        </w:rPr>
        <w:t>Not always. If you're include a company's "rainy day" reserve cash in its assets within the working capital formula (current assets - current liabilities), then a large amount of working capital is a good indicator that the company will be financially able to repay its payables and other short-term debt even if business were to suddenly dry up.</w:t>
      </w:r>
    </w:p>
    <w:p w:rsidR="00931A7D" w:rsidRPr="00931A7D" w:rsidRDefault="00931A7D" w:rsidP="00931A7D">
      <w:pPr>
        <w:pStyle w:val="NormalWeb"/>
        <w:jc w:val="both"/>
        <w:rPr>
          <w:rFonts w:ascii="Georgia" w:hAnsi="Georgia" w:cs="Arial"/>
          <w:sz w:val="28"/>
          <w:szCs w:val="28"/>
        </w:rPr>
      </w:pPr>
      <w:r w:rsidRPr="00931A7D">
        <w:rPr>
          <w:rFonts w:ascii="Georgia" w:hAnsi="Georgia" w:cs="Arial"/>
          <w:sz w:val="28"/>
          <w:szCs w:val="28"/>
        </w:rPr>
        <w:t>However, if you're using only a company's cash needed for "day-to-day" operations in the current assets part of the working capital formula, then a large amount of working capital with a relatively small amount of cash could mean problems. It could mean the company is a) having trouble moving its inventory, b) collecting its receivables from customers too slowly, or is c) paying its vendor's payables too quickly. If the company has little cash available and it's unable to do well in those three categories, the company could run into problems paying its bills and vendors.</w:t>
      </w:r>
    </w:p>
    <w:p w:rsidR="00931A7D" w:rsidRPr="00931A7D" w:rsidRDefault="00931A7D" w:rsidP="00931A7D">
      <w:pPr>
        <w:pStyle w:val="Heading3"/>
        <w:spacing w:line="240" w:lineRule="auto"/>
        <w:jc w:val="both"/>
        <w:rPr>
          <w:rFonts w:ascii="Georgia" w:hAnsi="Georgia" w:cs="Arial"/>
          <w:color w:val="auto"/>
          <w:sz w:val="28"/>
          <w:szCs w:val="28"/>
        </w:rPr>
      </w:pPr>
      <w:r w:rsidRPr="00931A7D">
        <w:rPr>
          <w:rFonts w:ascii="Georgia" w:hAnsi="Georgia" w:cs="Arial"/>
          <w:color w:val="auto"/>
          <w:sz w:val="28"/>
          <w:szCs w:val="28"/>
        </w:rPr>
        <w:t>Is a negative working capital amount always a bad sign?</w:t>
      </w:r>
    </w:p>
    <w:p w:rsidR="00931A7D" w:rsidRPr="00931A7D" w:rsidRDefault="00931A7D" w:rsidP="00931A7D">
      <w:pPr>
        <w:pStyle w:val="NormalWeb"/>
        <w:jc w:val="both"/>
        <w:rPr>
          <w:rFonts w:ascii="Georgia" w:hAnsi="Georgia" w:cs="Arial"/>
          <w:sz w:val="28"/>
          <w:szCs w:val="28"/>
        </w:rPr>
      </w:pPr>
      <w:r w:rsidRPr="00931A7D">
        <w:rPr>
          <w:rFonts w:ascii="Georgia" w:hAnsi="Georgia" w:cs="Arial"/>
          <w:sz w:val="28"/>
          <w:szCs w:val="28"/>
        </w:rPr>
        <w:t xml:space="preserve">While a negative working capital amount typically warns that a company has more short-term debt than it has in cash and other assets, it sometimes </w:t>
      </w:r>
      <w:proofErr w:type="gramStart"/>
      <w:r w:rsidRPr="00931A7D">
        <w:rPr>
          <w:rFonts w:ascii="Georgia" w:hAnsi="Georgia" w:cs="Arial"/>
          <w:sz w:val="28"/>
          <w:szCs w:val="28"/>
        </w:rPr>
        <w:t>be</w:t>
      </w:r>
      <w:proofErr w:type="gramEnd"/>
      <w:r w:rsidRPr="00931A7D">
        <w:rPr>
          <w:rFonts w:ascii="Georgia" w:hAnsi="Georgia" w:cs="Arial"/>
          <w:sz w:val="28"/>
          <w:szCs w:val="28"/>
        </w:rPr>
        <w:t xml:space="preserve"> a smart use of cash resources depending on the company's business model. </w:t>
      </w:r>
      <w:r w:rsidRPr="00931A7D">
        <w:rPr>
          <w:rFonts w:ascii="Georgia" w:hAnsi="Georgia" w:cs="Arial"/>
          <w:sz w:val="28"/>
          <w:szCs w:val="28"/>
        </w:rPr>
        <w:br/>
      </w:r>
      <w:r>
        <w:rPr>
          <w:rFonts w:ascii="Georgia" w:hAnsi="Georgia" w:cs="Arial"/>
          <w:sz w:val="28"/>
          <w:szCs w:val="28"/>
        </w:rPr>
        <w:t>In Dell's heyday around 2019</w:t>
      </w:r>
      <w:r w:rsidRPr="00931A7D">
        <w:rPr>
          <w:rFonts w:ascii="Georgia" w:hAnsi="Georgia" w:cs="Arial"/>
          <w:sz w:val="28"/>
          <w:szCs w:val="28"/>
        </w:rPr>
        <w:t>, for example, the company was able to assemble its personal computers and sell them directly to customers more than 30 days before the PC maker needed to pay its suppliers.</w:t>
      </w:r>
    </w:p>
    <w:p w:rsidR="00931A7D" w:rsidRPr="00931A7D" w:rsidRDefault="00931A7D" w:rsidP="00931A7D">
      <w:pPr>
        <w:pStyle w:val="NormalWeb"/>
        <w:jc w:val="both"/>
        <w:rPr>
          <w:rFonts w:ascii="Georgia" w:hAnsi="Georgia" w:cs="Arial"/>
          <w:sz w:val="28"/>
          <w:szCs w:val="28"/>
        </w:rPr>
      </w:pPr>
      <w:r w:rsidRPr="00931A7D">
        <w:rPr>
          <w:rFonts w:ascii="Georgia" w:hAnsi="Georgia" w:cs="Arial"/>
          <w:sz w:val="28"/>
          <w:szCs w:val="28"/>
        </w:rPr>
        <w:t>While these sales gave Dell large accounts payable balances (and typically a negative working capital balance), the company was able to make and sell computers by essentially using its suppliers' money without ever having to</w:t>
      </w:r>
      <w:r>
        <w:rPr>
          <w:rFonts w:ascii="Georgia" w:hAnsi="Georgia" w:cs="Arial"/>
          <w:sz w:val="28"/>
          <w:szCs w:val="28"/>
        </w:rPr>
        <w:t xml:space="preserve"> dip into its own cash reserves.</w:t>
      </w:r>
    </w:p>
    <w:p w:rsidR="00931A7D" w:rsidRPr="00931A7D" w:rsidRDefault="00931A7D">
      <w:pPr>
        <w:rPr>
          <w:rFonts w:ascii="Georgia" w:hAnsi="Georgia"/>
          <w:sz w:val="26"/>
          <w:szCs w:val="26"/>
        </w:rPr>
      </w:pPr>
    </w:p>
    <w:sectPr w:rsidR="00931A7D" w:rsidRPr="00931A7D"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145B"/>
    <w:multiLevelType w:val="multilevel"/>
    <w:tmpl w:val="23062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31A7D"/>
    <w:rsid w:val="000035F5"/>
    <w:rsid w:val="000D0CE1"/>
    <w:rsid w:val="001544CE"/>
    <w:rsid w:val="00325108"/>
    <w:rsid w:val="0033327B"/>
    <w:rsid w:val="0049734E"/>
    <w:rsid w:val="00520B82"/>
    <w:rsid w:val="00640807"/>
    <w:rsid w:val="006E3E92"/>
    <w:rsid w:val="007D0725"/>
    <w:rsid w:val="00836701"/>
    <w:rsid w:val="00854860"/>
    <w:rsid w:val="00931A7D"/>
    <w:rsid w:val="00947BBB"/>
    <w:rsid w:val="009A1D39"/>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931A7D"/>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931A7D"/>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931A7D"/>
    <w:rPr>
      <w:rFonts w:ascii="Times New Roman" w:eastAsia="Times New Roman" w:hAnsi="Times New Roman" w:cs="Times New Roman"/>
      <w:b/>
      <w:bCs/>
      <w:sz w:val="36"/>
      <w:szCs w:val="36"/>
      <w:lang w:bidi="hi-IN"/>
    </w:rPr>
  </w:style>
  <w:style w:type="character" w:customStyle="1" w:styleId="apple-converted-space">
    <w:name w:val="apple-converted-space"/>
    <w:basedOn w:val="DefaultParagraphFont"/>
    <w:rsid w:val="00931A7D"/>
  </w:style>
  <w:style w:type="paragraph" w:styleId="NormalWeb">
    <w:name w:val="Normal (Web)"/>
    <w:basedOn w:val="Normal"/>
    <w:uiPriority w:val="99"/>
    <w:semiHidden/>
    <w:unhideWhenUsed/>
    <w:rsid w:val="00931A7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931A7D"/>
    <w:rPr>
      <w:color w:val="0000FF"/>
      <w:u w:val="single"/>
    </w:rPr>
  </w:style>
  <w:style w:type="character" w:customStyle="1" w:styleId="Heading3Char">
    <w:name w:val="Heading 3 Char"/>
    <w:basedOn w:val="DefaultParagraphFont"/>
    <w:link w:val="Heading3"/>
    <w:uiPriority w:val="9"/>
    <w:semiHidden/>
    <w:rsid w:val="00931A7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5680150">
      <w:bodyDiv w:val="1"/>
      <w:marLeft w:val="0"/>
      <w:marRight w:val="0"/>
      <w:marTop w:val="0"/>
      <w:marBottom w:val="0"/>
      <w:divBdr>
        <w:top w:val="none" w:sz="0" w:space="0" w:color="auto"/>
        <w:left w:val="none" w:sz="0" w:space="0" w:color="auto"/>
        <w:bottom w:val="none" w:sz="0" w:space="0" w:color="auto"/>
        <w:right w:val="none" w:sz="0" w:space="0" w:color="auto"/>
      </w:divBdr>
    </w:div>
    <w:div w:id="683475723">
      <w:bodyDiv w:val="1"/>
      <w:marLeft w:val="0"/>
      <w:marRight w:val="0"/>
      <w:marTop w:val="0"/>
      <w:marBottom w:val="0"/>
      <w:divBdr>
        <w:top w:val="none" w:sz="0" w:space="0" w:color="auto"/>
        <w:left w:val="none" w:sz="0" w:space="0" w:color="auto"/>
        <w:bottom w:val="none" w:sz="0" w:space="0" w:color="auto"/>
        <w:right w:val="none" w:sz="0" w:space="0" w:color="auto"/>
      </w:divBdr>
    </w:div>
    <w:div w:id="981423331">
      <w:bodyDiv w:val="1"/>
      <w:marLeft w:val="0"/>
      <w:marRight w:val="0"/>
      <w:marTop w:val="0"/>
      <w:marBottom w:val="0"/>
      <w:divBdr>
        <w:top w:val="none" w:sz="0" w:space="0" w:color="auto"/>
        <w:left w:val="none" w:sz="0" w:space="0" w:color="auto"/>
        <w:bottom w:val="none" w:sz="0" w:space="0" w:color="auto"/>
        <w:right w:val="none" w:sz="0" w:space="0" w:color="auto"/>
      </w:divBdr>
    </w:div>
    <w:div w:id="1105883932">
      <w:bodyDiv w:val="1"/>
      <w:marLeft w:val="0"/>
      <w:marRight w:val="0"/>
      <w:marTop w:val="0"/>
      <w:marBottom w:val="0"/>
      <w:divBdr>
        <w:top w:val="none" w:sz="0" w:space="0" w:color="auto"/>
        <w:left w:val="none" w:sz="0" w:space="0" w:color="auto"/>
        <w:bottom w:val="none" w:sz="0" w:space="0" w:color="auto"/>
        <w:right w:val="none" w:sz="0" w:space="0" w:color="auto"/>
      </w:divBdr>
    </w:div>
    <w:div w:id="1525710369">
      <w:bodyDiv w:val="1"/>
      <w:marLeft w:val="0"/>
      <w:marRight w:val="0"/>
      <w:marTop w:val="0"/>
      <w:marBottom w:val="0"/>
      <w:divBdr>
        <w:top w:val="none" w:sz="0" w:space="0" w:color="auto"/>
        <w:left w:val="none" w:sz="0" w:space="0" w:color="auto"/>
        <w:bottom w:val="none" w:sz="0" w:space="0" w:color="auto"/>
        <w:right w:val="none" w:sz="0" w:space="0" w:color="auto"/>
      </w:divBdr>
      <w:divsChild>
        <w:div w:id="1505703131">
          <w:marLeft w:val="225"/>
          <w:marRight w:val="0"/>
          <w:marTop w:val="0"/>
          <w:marBottom w:val="0"/>
          <w:divBdr>
            <w:top w:val="none" w:sz="0" w:space="0" w:color="auto"/>
            <w:left w:val="none" w:sz="0" w:space="0" w:color="auto"/>
            <w:bottom w:val="none" w:sz="0" w:space="0" w:color="auto"/>
            <w:right w:val="none" w:sz="0" w:space="0" w:color="auto"/>
          </w:divBdr>
        </w:div>
        <w:div w:id="1602298673">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accounting/what-is-accounts-payable/" TargetMode="External"/><Relationship Id="rId3" Type="http://schemas.openxmlformats.org/officeDocument/2006/relationships/settings" Target="settings.xml"/><Relationship Id="rId7" Type="http://schemas.openxmlformats.org/officeDocument/2006/relationships/hyperlink" Target="https://corporatefinanceinstitute.com/resources/knowledge/accounting/what-is-accounts-receivab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poratefinanceinstitute.com/resources/knowledge/valuation/what-is-free-cash-flow-fcf/" TargetMode="External"/><Relationship Id="rId11" Type="http://schemas.openxmlformats.org/officeDocument/2006/relationships/fontTable" Target="fontTable.xml"/><Relationship Id="rId5" Type="http://schemas.openxmlformats.org/officeDocument/2006/relationships/hyperlink" Target="https://corporatefinanceinstitute.com/resources/knowledge/modeling/what-is-financial-modeling/" TargetMode="External"/><Relationship Id="rId10" Type="http://schemas.openxmlformats.org/officeDocument/2006/relationships/hyperlink" Target="https://corporatefinanceinstitute.com/resources/knowledge/accounting/current-liabilities/" TargetMode="External"/><Relationship Id="rId4" Type="http://schemas.openxmlformats.org/officeDocument/2006/relationships/webSettings" Target="webSettings.xml"/><Relationship Id="rId9" Type="http://schemas.openxmlformats.org/officeDocument/2006/relationships/hyperlink" Target="https://corporatefinanceinstitute.com/resources/knowledge/accounting/current-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2020-03-31T04:41:00Z</dcterms:created>
  <dcterms:modified xsi:type="dcterms:W3CDTF">2020-03-31T04:51:00Z</dcterms:modified>
</cp:coreProperties>
</file>