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2" w:rsidRPr="00D7152D" w:rsidRDefault="00236C79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pict>
          <v:group id="_x0000_s1026" style="position:absolute;left:0;text-align:left;margin-left:-6pt;margin-top:0;width:45pt;height:45pt;z-index:251658240" coordorigin="2592,624" coordsize="624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92;top:624;width:624;height:559">
              <v:imagedata r:id="rId6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2688;top:1200;width:432;height:144" fillcolor="black">
              <v:shadow color="#868686"/>
              <v:textpath style="font-family:&quot;Arial&quot;;font-size:20pt" fitshape="t" trim="t" string="WISDOM&#10;"/>
            </v:shape>
          </v:group>
        </w:pict>
      </w:r>
      <w:r w:rsidR="002B4642" w:rsidRPr="00D7152D">
        <w:rPr>
          <w:rFonts w:ascii="Arial" w:hAnsi="Arial" w:cs="Arial"/>
          <w:b/>
          <w:sz w:val="32"/>
        </w:rPr>
        <w:t>SIR PADAMPAT SINGHANIA UNIVERSITY</w:t>
      </w:r>
    </w:p>
    <w:p w:rsidR="002B4642" w:rsidRPr="00D7152D" w:rsidRDefault="002B4642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 w:rsidRPr="00D7152D">
        <w:rPr>
          <w:rFonts w:ascii="Arial" w:hAnsi="Arial" w:cs="Arial"/>
          <w:b/>
          <w:sz w:val="32"/>
        </w:rPr>
        <w:t>Udaipur</w:t>
      </w:r>
    </w:p>
    <w:p w:rsidR="002B4642" w:rsidRPr="00D7152D" w:rsidRDefault="00C9759A" w:rsidP="00F242A0">
      <w:pPr>
        <w:spacing w:line="312" w:lineRule="auto"/>
        <w:jc w:val="center"/>
        <w:rPr>
          <w:rFonts w:ascii="Arial" w:hAnsi="Arial" w:cs="Arial"/>
          <w:b/>
          <w:caps/>
          <w:u w:val="single"/>
          <w:cs/>
          <w:lang w:bidi="hi-IN"/>
        </w:rPr>
      </w:pPr>
      <w:r w:rsidRPr="00D7152D">
        <w:rPr>
          <w:rFonts w:ascii="Arial" w:hAnsi="Arial" w:cs="Arial"/>
          <w:b/>
          <w:caps/>
          <w:u w:val="single"/>
        </w:rPr>
        <w:t>Lesson</w:t>
      </w:r>
      <w:r w:rsidR="002B4642" w:rsidRPr="00D7152D">
        <w:rPr>
          <w:rFonts w:ascii="Arial" w:hAnsi="Arial" w:cs="Arial"/>
          <w:b/>
          <w:caps/>
          <w:u w:val="single"/>
        </w:rPr>
        <w:t xml:space="preserve"> Plan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Name of the Course Teacher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>: Dr.</w:t>
      </w:r>
      <w:r w:rsidR="00132294" w:rsidRPr="00CF55BB">
        <w:rPr>
          <w:rFonts w:ascii="Arial" w:hAnsi="Arial" w:cs="Arial"/>
          <w:cs/>
          <w:lang w:bidi="hi-IN"/>
        </w:rPr>
        <w:t>Manish Dadhich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Subject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 xml:space="preserve">: </w:t>
      </w:r>
      <w:r w:rsidR="00205755">
        <w:rPr>
          <w:rFonts w:ascii="Arial" w:hAnsi="Arial" w:cs="Arial"/>
        </w:rPr>
        <w:t>Banking &amp; Financial Services Institutions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Branch</w:t>
      </w:r>
      <w:r w:rsidR="007B58F7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 xml:space="preserve">: </w:t>
      </w:r>
      <w:r w:rsidR="009D4B59">
        <w:rPr>
          <w:rFonts w:ascii="Arial" w:hAnsi="Arial" w:cs="Arial"/>
          <w:lang w:bidi="hi-IN"/>
        </w:rPr>
        <w:t>MB</w:t>
      </w:r>
      <w:r w:rsidR="001426D9" w:rsidRPr="00CF55BB">
        <w:rPr>
          <w:rFonts w:ascii="Arial" w:hAnsi="Arial" w:cs="Arial"/>
          <w:lang w:bidi="hi-IN"/>
        </w:rPr>
        <w:t>A</w:t>
      </w:r>
      <w:r w:rsidR="001426D9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</w:rPr>
        <w:tab/>
      </w:r>
      <w:r w:rsidR="007B58F7" w:rsidRPr="00CF55BB">
        <w:rPr>
          <w:rFonts w:ascii="Arial" w:hAnsi="Arial" w:cs="Arial"/>
          <w:cs/>
          <w:lang w:bidi="hi-IN"/>
        </w:rPr>
        <w:tab/>
      </w:r>
      <w:r w:rsidR="00C9759A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  <w:b/>
        </w:rPr>
        <w:t>Semester</w:t>
      </w:r>
      <w:r w:rsidR="00A87942" w:rsidRPr="00CF55BB">
        <w:rPr>
          <w:rFonts w:ascii="Arial" w:hAnsi="Arial" w:cs="Arial"/>
        </w:rPr>
        <w:tab/>
        <w:t>: I</w:t>
      </w:r>
      <w:r w:rsidR="000F2CFC">
        <w:rPr>
          <w:rFonts w:ascii="Arial" w:hAnsi="Arial" w:cs="Arial"/>
        </w:rPr>
        <w:t>I</w:t>
      </w:r>
      <w:r w:rsidR="00A22E6F">
        <w:rPr>
          <w:rFonts w:ascii="Arial" w:hAnsi="Arial" w:cs="Arial"/>
        </w:rPr>
        <w:t>I</w:t>
      </w:r>
      <w:r w:rsidRPr="00CF55BB">
        <w:rPr>
          <w:rFonts w:ascii="Arial" w:hAnsi="Arial" w:cs="Arial"/>
        </w:rPr>
        <w:tab/>
      </w:r>
      <w:r w:rsidRPr="00CF55BB">
        <w:rPr>
          <w:rFonts w:ascii="Arial" w:hAnsi="Arial" w:cs="Arial"/>
        </w:rPr>
        <w:tab/>
        <w:t xml:space="preserve">    </w:t>
      </w:r>
      <w:r w:rsidRPr="00CF55BB">
        <w:rPr>
          <w:rFonts w:ascii="Arial" w:hAnsi="Arial" w:cs="Arial"/>
          <w:b/>
        </w:rPr>
        <w:t xml:space="preserve">Year: </w:t>
      </w:r>
      <w:r w:rsidR="00D315F3" w:rsidRPr="00CF55BB">
        <w:rPr>
          <w:rFonts w:ascii="Arial" w:hAnsi="Arial" w:cs="Arial"/>
          <w:lang w:bidi="hi-IN"/>
        </w:rPr>
        <w:t>I</w:t>
      </w:r>
      <w:r w:rsidR="00A22E6F">
        <w:rPr>
          <w:rFonts w:ascii="Arial" w:hAnsi="Arial" w:cs="Arial"/>
          <w:lang w:bidi="hi-IN"/>
        </w:rPr>
        <w:t>I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CF55BB">
        <w:rPr>
          <w:rFonts w:ascii="Arial" w:hAnsi="Arial" w:cs="Arial"/>
          <w:b/>
        </w:rPr>
        <w:t>Course Code</w:t>
      </w:r>
      <w:r w:rsidR="009D4B59">
        <w:rPr>
          <w:rFonts w:ascii="Arial" w:hAnsi="Arial" w:cs="Arial"/>
        </w:rPr>
        <w:t>: BM-</w:t>
      </w:r>
      <w:r w:rsidR="000F2CFC">
        <w:rPr>
          <w:rFonts w:ascii="Arial" w:hAnsi="Arial" w:cs="Arial"/>
        </w:rPr>
        <w:t>5</w:t>
      </w:r>
      <w:r w:rsidR="00A22E6F">
        <w:rPr>
          <w:rFonts w:ascii="Arial" w:hAnsi="Arial" w:cs="Arial"/>
        </w:rPr>
        <w:t>251</w:t>
      </w:r>
      <w:r w:rsidR="00132294" w:rsidRPr="00CF55BB">
        <w:rPr>
          <w:rFonts w:ascii="Arial" w:hAnsi="Arial" w:cs="Arial"/>
          <w:cs/>
          <w:lang w:bidi="hi-IN"/>
        </w:rPr>
        <w:tab/>
      </w:r>
      <w:r w:rsidRPr="00CF55BB">
        <w:rPr>
          <w:rFonts w:ascii="Arial" w:hAnsi="Arial" w:cs="Arial"/>
        </w:rPr>
        <w:tab/>
      </w:r>
      <w:r w:rsidR="00C9759A" w:rsidRPr="00CF55BB">
        <w:rPr>
          <w:rFonts w:ascii="Arial" w:hAnsi="Arial" w:cs="Arial"/>
        </w:rPr>
        <w:tab/>
      </w:r>
      <w:r w:rsidRPr="00CF55BB">
        <w:rPr>
          <w:rFonts w:ascii="Arial" w:hAnsi="Arial" w:cs="Arial"/>
          <w:b/>
        </w:rPr>
        <w:t>L-T-P-C</w:t>
      </w:r>
      <w:r w:rsidRPr="00CF55BB">
        <w:rPr>
          <w:rFonts w:ascii="Arial" w:hAnsi="Arial" w:cs="Arial"/>
          <w:b/>
        </w:rPr>
        <w:tab/>
      </w:r>
      <w:r w:rsidR="00D538E1" w:rsidRPr="00CF55BB">
        <w:rPr>
          <w:rFonts w:ascii="Arial" w:hAnsi="Arial" w:cs="Arial"/>
        </w:rPr>
        <w:t xml:space="preserve">: </w:t>
      </w:r>
      <w:r w:rsidR="009D4B59">
        <w:rPr>
          <w:rFonts w:ascii="Arial" w:hAnsi="Arial" w:cs="Arial"/>
        </w:rPr>
        <w:t>4</w:t>
      </w:r>
      <w:r w:rsidR="00D538E1" w:rsidRPr="00CF55BB">
        <w:rPr>
          <w:rFonts w:ascii="Arial" w:hAnsi="Arial" w:cs="Arial"/>
        </w:rPr>
        <w:t>-</w:t>
      </w:r>
      <w:r w:rsidR="00D315F3" w:rsidRPr="00CF55BB">
        <w:rPr>
          <w:rFonts w:ascii="Arial" w:hAnsi="Arial" w:cs="Arial"/>
        </w:rPr>
        <w:t>0</w:t>
      </w:r>
      <w:r w:rsidR="00E72CC7" w:rsidRPr="00CF55BB">
        <w:rPr>
          <w:rFonts w:ascii="Arial" w:hAnsi="Arial" w:cs="Arial"/>
        </w:rPr>
        <w:t>-</w:t>
      </w:r>
      <w:r w:rsidR="00E72CC7" w:rsidRPr="00CF55BB">
        <w:rPr>
          <w:rFonts w:ascii="Arial" w:hAnsi="Arial" w:cs="Arial"/>
          <w:cs/>
          <w:lang w:bidi="hi-IN"/>
        </w:rPr>
        <w:t>0</w:t>
      </w:r>
      <w:r w:rsidRPr="00CF55BB">
        <w:rPr>
          <w:rFonts w:ascii="Arial" w:hAnsi="Arial" w:cs="Arial"/>
        </w:rPr>
        <w:t>-</w:t>
      </w:r>
      <w:r w:rsidR="009D4B59">
        <w:rPr>
          <w:rFonts w:ascii="Arial" w:hAnsi="Arial" w:cs="Arial"/>
        </w:rPr>
        <w:t>4</w:t>
      </w:r>
      <w:r w:rsidR="009213C1" w:rsidRPr="00CF55BB">
        <w:rPr>
          <w:rFonts w:ascii="Arial" w:hAnsi="Arial" w:cs="Arial"/>
        </w:rPr>
        <w:t xml:space="preserve">       </w:t>
      </w:r>
      <w:r w:rsidR="002F4F9D">
        <w:rPr>
          <w:rFonts w:ascii="Arial" w:hAnsi="Arial" w:cs="Arial"/>
        </w:rPr>
        <w:t xml:space="preserve">   </w:t>
      </w:r>
      <w:proofErr w:type="spellStart"/>
      <w:r w:rsidR="00F62E6F" w:rsidRPr="00CF55BB">
        <w:rPr>
          <w:rFonts w:ascii="Arial" w:hAnsi="Arial" w:cs="Arial"/>
          <w:b/>
        </w:rPr>
        <w:t>w.e.f</w:t>
      </w:r>
      <w:proofErr w:type="spellEnd"/>
      <w:r w:rsidR="00F62E6F" w:rsidRPr="00CF55BB">
        <w:rPr>
          <w:rFonts w:ascii="Arial" w:hAnsi="Arial" w:cs="Arial"/>
        </w:rPr>
        <w:t>:</w:t>
      </w:r>
      <w:r w:rsidR="00A22E6F">
        <w:rPr>
          <w:rFonts w:ascii="Arial" w:hAnsi="Arial" w:cs="Arial"/>
          <w:lang w:bidi="hi-IN"/>
        </w:rPr>
        <w:t xml:space="preserve"> 1 July</w:t>
      </w:r>
      <w:r w:rsidR="00AC2A48" w:rsidRPr="00CF55BB">
        <w:rPr>
          <w:rFonts w:ascii="Arial" w:hAnsi="Arial" w:cs="Arial"/>
          <w:cs/>
          <w:lang w:bidi="hi-IN"/>
        </w:rPr>
        <w:t xml:space="preserve"> </w:t>
      </w:r>
      <w:r w:rsidR="00466D5F" w:rsidRPr="00CF55BB">
        <w:rPr>
          <w:rFonts w:ascii="Arial" w:hAnsi="Arial" w:cs="Arial"/>
        </w:rPr>
        <w:t>20</w:t>
      </w:r>
      <w:r w:rsidR="002F4F9D">
        <w:rPr>
          <w:rFonts w:ascii="Arial" w:hAnsi="Arial" w:cs="Arial"/>
        </w:rPr>
        <w:t>20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3"/>
        <w:gridCol w:w="6382"/>
        <w:gridCol w:w="89"/>
        <w:gridCol w:w="1607"/>
      </w:tblGrid>
      <w:tr w:rsidR="002B4642" w:rsidRPr="00CF55BB" w:rsidTr="00FF48AB">
        <w:trPr>
          <w:trHeight w:val="778"/>
        </w:trPr>
        <w:tc>
          <w:tcPr>
            <w:tcW w:w="1523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</w:rPr>
              <w:tab/>
              <w:t xml:space="preserve">             </w:t>
            </w:r>
            <w:r w:rsidR="00466D5F" w:rsidRPr="00CF55BB">
              <w:rPr>
                <w:rFonts w:ascii="Arial" w:hAnsi="Arial" w:cs="Arial"/>
                <w:b/>
              </w:rPr>
              <w:t>S</w:t>
            </w:r>
            <w:r w:rsidRPr="00CF55BB">
              <w:rPr>
                <w:rFonts w:ascii="Arial" w:hAnsi="Arial" w:cs="Arial"/>
                <w:b/>
              </w:rPr>
              <w:t>. No.</w:t>
            </w:r>
          </w:p>
        </w:tc>
        <w:tc>
          <w:tcPr>
            <w:tcW w:w="6382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696" w:type="dxa"/>
            <w:gridSpan w:val="2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 xml:space="preserve">Contact 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Hours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(Lectures)</w:t>
            </w:r>
          </w:p>
        </w:tc>
      </w:tr>
      <w:tr w:rsidR="00EF52A7" w:rsidRPr="00CF55BB" w:rsidTr="00FF48AB">
        <w:trPr>
          <w:trHeight w:val="162"/>
        </w:trPr>
        <w:tc>
          <w:tcPr>
            <w:tcW w:w="1523" w:type="dxa"/>
            <w:shd w:val="clear" w:color="auto" w:fill="FFFFFF" w:themeFill="background1"/>
          </w:tcPr>
          <w:p w:rsidR="00EF52A7" w:rsidRPr="00CF55BB" w:rsidRDefault="0064465D" w:rsidP="00EF52A7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Midterm</w:t>
            </w:r>
            <w:r>
              <w:rPr>
                <w:rFonts w:ascii="Arial" w:hAnsi="Arial" w:cs="Arial"/>
              </w:rPr>
              <w:t>-I</w:t>
            </w:r>
          </w:p>
        </w:tc>
        <w:tc>
          <w:tcPr>
            <w:tcW w:w="6382" w:type="dxa"/>
            <w:shd w:val="clear" w:color="auto" w:fill="FFFFFF" w:themeFill="background1"/>
            <w:vAlign w:val="bottom"/>
          </w:tcPr>
          <w:p w:rsidR="00EF52A7" w:rsidRPr="00CF55BB" w:rsidRDefault="00D8570F" w:rsidP="00A22E6F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  <w:r w:rsidR="00CF55BB" w:rsidRPr="00CF55BB">
              <w:rPr>
                <w:rFonts w:ascii="Arial" w:hAnsi="Arial" w:cs="Arial"/>
              </w:rPr>
              <w:t xml:space="preserve"> </w:t>
            </w:r>
            <w:r w:rsidR="00A22E6F">
              <w:rPr>
                <w:rFonts w:ascii="Arial" w:hAnsi="Arial" w:cs="Arial"/>
              </w:rPr>
              <w:t>July</w:t>
            </w:r>
            <w:r w:rsidRPr="00CF55BB">
              <w:rPr>
                <w:rFonts w:ascii="Arial" w:hAnsi="Arial" w:cs="Arial"/>
              </w:rPr>
              <w:t xml:space="preserve"> 20</w:t>
            </w:r>
            <w:r w:rsidR="00A22E6F">
              <w:rPr>
                <w:rFonts w:ascii="Arial" w:hAnsi="Arial" w:cs="Arial"/>
              </w:rPr>
              <w:t>20 to Aug</w:t>
            </w:r>
            <w:r w:rsidR="009360E4">
              <w:rPr>
                <w:rFonts w:ascii="Arial" w:hAnsi="Arial" w:cs="Arial"/>
              </w:rPr>
              <w:t xml:space="preserve"> 20</w:t>
            </w:r>
            <w:r w:rsidR="00A22E6F">
              <w:rPr>
                <w:rFonts w:ascii="Arial" w:hAnsi="Arial" w:cs="Arial"/>
              </w:rPr>
              <w:t>20</w:t>
            </w:r>
          </w:p>
        </w:tc>
        <w:tc>
          <w:tcPr>
            <w:tcW w:w="1696" w:type="dxa"/>
            <w:gridSpan w:val="2"/>
            <w:shd w:val="clear" w:color="auto" w:fill="FFFFFF" w:themeFill="background1"/>
            <w:vAlign w:val="bottom"/>
          </w:tcPr>
          <w:p w:rsidR="00EF52A7" w:rsidRPr="00CF55BB" w:rsidRDefault="00EF52A7" w:rsidP="00F90EF4">
            <w:pPr>
              <w:jc w:val="right"/>
              <w:rPr>
                <w:rFonts w:ascii="Arial" w:hAnsi="Arial" w:cs="Arial"/>
              </w:rPr>
            </w:pPr>
          </w:p>
        </w:tc>
      </w:tr>
      <w:tr w:rsidR="00EF52A7" w:rsidRPr="00CF55BB" w:rsidTr="00341911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  <w:vAlign w:val="center"/>
          </w:tcPr>
          <w:p w:rsidR="00AA5EF8" w:rsidRPr="00341911" w:rsidRDefault="00EF52A7" w:rsidP="003419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bidi="hi-IN"/>
              </w:rPr>
            </w:pPr>
            <w:r w:rsidRPr="00341911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D315F3" w:rsidRPr="00341911" w:rsidRDefault="00AA5EF8" w:rsidP="003419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</w:rPr>
            </w:pPr>
            <w:r w:rsidRPr="00341911">
              <w:rPr>
                <w:rFonts w:ascii="Arial" w:hAnsi="Arial" w:cs="Arial"/>
                <w:bCs/>
                <w:lang w:bidi="hi-IN"/>
              </w:rPr>
              <w:t>1.</w:t>
            </w:r>
            <w:r w:rsidR="00F82286" w:rsidRPr="00341911">
              <w:rPr>
                <w:rFonts w:ascii="Arial" w:hAnsi="Arial" w:cs="Arial"/>
                <w:bCs/>
              </w:rPr>
              <w:t xml:space="preserve"> </w:t>
            </w:r>
            <w:r w:rsidR="00D00A1C" w:rsidRPr="00341911">
              <w:rPr>
                <w:rFonts w:ascii="Arial" w:hAnsi="Arial" w:cs="Arial"/>
                <w:bCs/>
                <w:shd w:val="clear" w:color="auto" w:fill="FFFFFF"/>
              </w:rPr>
              <w:t xml:space="preserve">Suresh </w:t>
            </w:r>
            <w:proofErr w:type="spellStart"/>
            <w:r w:rsidR="00D00A1C" w:rsidRPr="00341911">
              <w:rPr>
                <w:rFonts w:ascii="Arial" w:hAnsi="Arial" w:cs="Arial"/>
                <w:bCs/>
                <w:shd w:val="clear" w:color="auto" w:fill="FFFFFF"/>
              </w:rPr>
              <w:t>Padmalatha</w:t>
            </w:r>
            <w:proofErr w:type="spellEnd"/>
            <w:r w:rsidR="00677C4A" w:rsidRPr="00341911">
              <w:rPr>
                <w:rFonts w:ascii="Arial" w:hAnsi="Arial" w:cs="Arial"/>
                <w:bCs/>
                <w:lang w:bidi="hi-IN"/>
              </w:rPr>
              <w:t xml:space="preserve">, </w:t>
            </w:r>
            <w:r w:rsidR="00D00A1C" w:rsidRPr="00341911">
              <w:rPr>
                <w:rFonts w:ascii="Arial" w:hAnsi="Arial" w:cs="Arial"/>
                <w:bCs/>
                <w:shd w:val="clear" w:color="auto" w:fill="FFFFFF"/>
              </w:rPr>
              <w:t xml:space="preserve">Management </w:t>
            </w:r>
            <w:r w:rsidR="00341911" w:rsidRPr="00341911">
              <w:rPr>
                <w:rFonts w:ascii="Arial" w:hAnsi="Arial" w:cs="Arial"/>
                <w:bCs/>
                <w:shd w:val="clear" w:color="auto" w:fill="FFFFFF"/>
              </w:rPr>
              <w:t>of</w:t>
            </w:r>
            <w:r w:rsidR="00341911" w:rsidRPr="00341911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 </w:t>
            </w:r>
            <w:r w:rsidR="00D00A1C" w:rsidRPr="00341911">
              <w:rPr>
                <w:rFonts w:ascii="Arial" w:hAnsi="Arial" w:cs="Arial"/>
                <w:bCs/>
                <w:shd w:val="clear" w:color="auto" w:fill="FFFFFF"/>
              </w:rPr>
              <w:t>Banking</w:t>
            </w:r>
            <w:r w:rsidR="00D00A1C" w:rsidRPr="00341911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 </w:t>
            </w:r>
            <w:r w:rsidR="00341911" w:rsidRPr="00341911">
              <w:rPr>
                <w:rFonts w:ascii="Arial" w:hAnsi="Arial" w:cs="Arial"/>
                <w:bCs/>
                <w:shd w:val="clear" w:color="auto" w:fill="FFFFFF"/>
              </w:rPr>
              <w:t>and</w:t>
            </w:r>
            <w:r w:rsidR="00341911" w:rsidRPr="00341911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 </w:t>
            </w:r>
            <w:r w:rsidR="00341911" w:rsidRPr="00341911">
              <w:rPr>
                <w:rFonts w:ascii="Arial" w:hAnsi="Arial" w:cs="Arial"/>
                <w:bCs/>
                <w:shd w:val="clear" w:color="auto" w:fill="FFFFFF"/>
              </w:rPr>
              <w:t xml:space="preserve">Financial </w:t>
            </w:r>
            <w:r w:rsidR="00D00A1C" w:rsidRPr="00341911">
              <w:rPr>
                <w:rFonts w:ascii="Arial" w:hAnsi="Arial" w:cs="Arial"/>
                <w:bCs/>
                <w:shd w:val="clear" w:color="auto" w:fill="FFFFFF"/>
              </w:rPr>
              <w:t>Services</w:t>
            </w:r>
            <w:r w:rsidR="00677C4A" w:rsidRPr="00341911">
              <w:rPr>
                <w:rFonts w:ascii="Arial" w:hAnsi="Arial" w:cs="Arial"/>
                <w:bCs/>
                <w:lang w:bidi="hi-IN"/>
              </w:rPr>
              <w:t xml:space="preserve">, </w:t>
            </w:r>
            <w:r w:rsidR="00D00A1C" w:rsidRPr="00341911">
              <w:rPr>
                <w:rFonts w:ascii="Arial" w:hAnsi="Arial" w:cs="Arial"/>
                <w:bCs/>
              </w:rPr>
              <w:t>Pearson</w:t>
            </w:r>
            <w:r w:rsidR="00D00A1C" w:rsidRPr="00341911">
              <w:rPr>
                <w:rStyle w:val="apple-converted-space"/>
                <w:rFonts w:ascii="Arial" w:hAnsi="Arial" w:cs="Arial"/>
                <w:bCs/>
              </w:rPr>
              <w:t> </w:t>
            </w:r>
            <w:r w:rsidR="00D00A1C" w:rsidRPr="00341911">
              <w:rPr>
                <w:rFonts w:ascii="Arial" w:hAnsi="Arial" w:cs="Arial"/>
                <w:bCs/>
              </w:rPr>
              <w:t>Education India</w:t>
            </w:r>
            <w:r w:rsidR="00D4428B" w:rsidRPr="00341911">
              <w:rPr>
                <w:rFonts w:ascii="Arial" w:hAnsi="Arial" w:cs="Arial"/>
                <w:bCs/>
                <w:lang w:bidi="hi-IN"/>
              </w:rPr>
              <w:t xml:space="preserve">, </w:t>
            </w:r>
            <w:r w:rsidR="00CC6B8B">
              <w:rPr>
                <w:rFonts w:ascii="Arial" w:hAnsi="Arial" w:cs="Arial"/>
                <w:bCs/>
                <w:lang w:bidi="hi-IN"/>
              </w:rPr>
              <w:t>2018</w:t>
            </w:r>
            <w:r w:rsidR="00677C4A" w:rsidRPr="00341911">
              <w:rPr>
                <w:rFonts w:ascii="Arial" w:hAnsi="Arial" w:cs="Arial"/>
                <w:bCs/>
                <w:lang w:bidi="hi-IN"/>
              </w:rPr>
              <w:t>.</w:t>
            </w:r>
          </w:p>
          <w:p w:rsidR="00EF52A7" w:rsidRPr="00341911" w:rsidRDefault="00AA5EF8" w:rsidP="00341911">
            <w:pPr>
              <w:textAlignment w:val="top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  <w:bCs/>
                <w:lang w:bidi="hi-IN"/>
              </w:rPr>
              <w:t xml:space="preserve">2. </w:t>
            </w:r>
            <w:hyperlink r:id="rId7" w:tooltip=" N.R. Mohan Prakash" w:history="1">
              <w:r w:rsidR="00341911" w:rsidRPr="00341911">
                <w:rPr>
                  <w:rStyle w:val="Hyperlink"/>
                  <w:rFonts w:ascii="Arial" w:hAnsi="Arial" w:cs="Arial"/>
                  <w:bCs/>
                  <w:color w:val="auto"/>
                  <w:u w:val="none"/>
                  <w:bdr w:val="none" w:sz="0" w:space="0" w:color="auto" w:frame="1"/>
                </w:rPr>
                <w:t xml:space="preserve">N.R. Mohan </w:t>
              </w:r>
              <w:proofErr w:type="spellStart"/>
              <w:r w:rsidR="00341911" w:rsidRPr="00341911">
                <w:rPr>
                  <w:rStyle w:val="Hyperlink"/>
                  <w:rFonts w:ascii="Arial" w:hAnsi="Arial" w:cs="Arial"/>
                  <w:bCs/>
                  <w:color w:val="auto"/>
                  <w:u w:val="none"/>
                  <w:bdr w:val="none" w:sz="0" w:space="0" w:color="auto" w:frame="1"/>
                </w:rPr>
                <w:t>Prakash</w:t>
              </w:r>
              <w:proofErr w:type="spellEnd"/>
            </w:hyperlink>
            <w:r w:rsidR="00677C4A" w:rsidRPr="00341911">
              <w:rPr>
                <w:rFonts w:ascii="Arial" w:eastAsia="Arial" w:hAnsi="Arial" w:cs="Arial"/>
                <w:bCs/>
                <w:spacing w:val="3"/>
              </w:rPr>
              <w:t>,</w:t>
            </w:r>
            <w:r w:rsidR="00677C4A" w:rsidRPr="00341911">
              <w:rPr>
                <w:rFonts w:ascii="Arial" w:eastAsia="Arial" w:hAnsi="Arial" w:cs="Arial"/>
                <w:bCs/>
                <w:spacing w:val="2"/>
              </w:rPr>
              <w:t xml:space="preserve"> </w:t>
            </w:r>
            <w:r w:rsidR="00D00A1C" w:rsidRPr="00341911">
              <w:rPr>
                <w:rFonts w:ascii="Arial" w:hAnsi="Arial" w:cs="Arial"/>
                <w:bCs/>
              </w:rPr>
              <w:t>Banking, Risk and Insurance Management</w:t>
            </w:r>
            <w:r w:rsidR="000C75AC" w:rsidRPr="00341911">
              <w:rPr>
                <w:rFonts w:ascii="Arial" w:hAnsi="Arial" w:cs="Arial"/>
                <w:bCs/>
              </w:rPr>
              <w:t>,</w:t>
            </w:r>
            <w:r w:rsidR="00341911" w:rsidRPr="0034191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C75AC" w:rsidRPr="00341911">
              <w:rPr>
                <w:rFonts w:ascii="Arial" w:hAnsi="Arial" w:cs="Arial"/>
                <w:bCs/>
              </w:rPr>
              <w:t>Vikas</w:t>
            </w:r>
            <w:proofErr w:type="spellEnd"/>
            <w:r w:rsidR="000C75AC" w:rsidRPr="00341911">
              <w:rPr>
                <w:rFonts w:ascii="Arial" w:hAnsi="Arial" w:cs="Arial"/>
                <w:bCs/>
              </w:rPr>
              <w:t xml:space="preserve"> Publishing</w:t>
            </w:r>
            <w:r w:rsidR="00CC6B8B">
              <w:rPr>
                <w:rFonts w:ascii="Arial" w:hAnsi="Arial" w:cs="Arial"/>
                <w:bCs/>
              </w:rPr>
              <w:t xml:space="preserve"> Ltd.</w:t>
            </w:r>
            <w:r w:rsidR="00CD2304" w:rsidRPr="00341911">
              <w:rPr>
                <w:rFonts w:ascii="Arial" w:eastAsia="Arial" w:hAnsi="Arial" w:cs="Arial"/>
                <w:bCs/>
              </w:rPr>
              <w:t>,</w:t>
            </w:r>
            <w:r w:rsidR="00341911" w:rsidRPr="00341911">
              <w:rPr>
                <w:rFonts w:ascii="Arial" w:eastAsia="Arial" w:hAnsi="Arial" w:cs="Arial"/>
                <w:bCs/>
              </w:rPr>
              <w:t xml:space="preserve"> Delhi</w:t>
            </w:r>
            <w:r w:rsidR="0064465D" w:rsidRPr="00341911">
              <w:rPr>
                <w:rFonts w:ascii="Arial" w:eastAsia="Arial" w:hAnsi="Arial" w:cs="Arial"/>
                <w:bCs/>
                <w:spacing w:val="-1"/>
              </w:rPr>
              <w:t xml:space="preserve"> 2018.</w:t>
            </w:r>
          </w:p>
        </w:tc>
      </w:tr>
      <w:tr w:rsidR="00EF52A7" w:rsidRPr="00CF55BB" w:rsidTr="00341911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  <w:vAlign w:val="center"/>
          </w:tcPr>
          <w:p w:rsidR="00EF52A7" w:rsidRPr="00341911" w:rsidRDefault="00EF52A7" w:rsidP="00341911">
            <w:pPr>
              <w:rPr>
                <w:rFonts w:ascii="Arial" w:hAnsi="Arial" w:cs="Arial"/>
                <w:b/>
                <w:cs/>
                <w:lang w:bidi="hi-IN"/>
              </w:rPr>
            </w:pPr>
            <w:r w:rsidRPr="00341911">
              <w:rPr>
                <w:rFonts w:ascii="Arial" w:hAnsi="Arial" w:cs="Arial"/>
                <w:b/>
                <w:cs/>
                <w:lang w:bidi="hi-IN"/>
              </w:rPr>
              <w:t>Introduction to</w:t>
            </w:r>
            <w:r w:rsidR="00D538E1" w:rsidRPr="00341911">
              <w:rPr>
                <w:rFonts w:ascii="Arial" w:hAnsi="Arial" w:cs="Arial"/>
                <w:b/>
                <w:cs/>
                <w:lang w:bidi="hi-IN"/>
              </w:rPr>
              <w:t xml:space="preserve"> </w:t>
            </w:r>
            <w:r w:rsidR="00205755" w:rsidRPr="00341911">
              <w:rPr>
                <w:rFonts w:ascii="Arial" w:eastAsiaTheme="minorHAnsi" w:hAnsi="Arial" w:cs="Arial"/>
                <w:lang w:bidi="hi-IN"/>
              </w:rPr>
              <w:t>Financial Services</w:t>
            </w:r>
          </w:p>
        </w:tc>
      </w:tr>
      <w:tr w:rsidR="002B4642" w:rsidRPr="00CF55BB" w:rsidTr="00341911">
        <w:trPr>
          <w:trHeight w:val="162"/>
        </w:trPr>
        <w:tc>
          <w:tcPr>
            <w:tcW w:w="1523" w:type="dxa"/>
            <w:vAlign w:val="center"/>
          </w:tcPr>
          <w:p w:rsidR="002B4642" w:rsidRPr="00341911" w:rsidRDefault="002B4642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2B4642" w:rsidRPr="00341911" w:rsidRDefault="00205755" w:rsidP="0034191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Financial Services: meaning, overview, types</w:t>
            </w:r>
          </w:p>
        </w:tc>
        <w:tc>
          <w:tcPr>
            <w:tcW w:w="1607" w:type="dxa"/>
            <w:vAlign w:val="center"/>
          </w:tcPr>
          <w:p w:rsidR="002B4642" w:rsidRPr="00341911" w:rsidRDefault="00205755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2B4642" w:rsidRPr="00CF55BB" w:rsidTr="00341911">
        <w:trPr>
          <w:trHeight w:val="224"/>
        </w:trPr>
        <w:tc>
          <w:tcPr>
            <w:tcW w:w="1523" w:type="dxa"/>
            <w:vAlign w:val="center"/>
          </w:tcPr>
          <w:p w:rsidR="002B4642" w:rsidRPr="00341911" w:rsidRDefault="002B4642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2B4642" w:rsidRPr="00341911" w:rsidRDefault="00205755" w:rsidP="00341911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Asset/Fund based services</w:t>
            </w:r>
          </w:p>
        </w:tc>
        <w:tc>
          <w:tcPr>
            <w:tcW w:w="1607" w:type="dxa"/>
            <w:vAlign w:val="center"/>
          </w:tcPr>
          <w:p w:rsidR="002B4642" w:rsidRPr="00341911" w:rsidRDefault="00205755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68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205755" w:rsidP="00341911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Fee based financial services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Banking products and services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37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tabs>
                <w:tab w:val="left" w:pos="3601"/>
              </w:tabs>
              <w:ind w:right="128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Loan-based services: retail loans, corporate loans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5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spacing w:before="12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Treasury products, housing finance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Debt syndication, loan securitization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IT-based services: Internet banking and mobile banking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Innovation in banking services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E648D6" w:rsidRPr="00CF55BB" w:rsidTr="00341911">
        <w:trPr>
          <w:trHeight w:val="162"/>
        </w:trPr>
        <w:tc>
          <w:tcPr>
            <w:tcW w:w="1523" w:type="dxa"/>
            <w:vAlign w:val="center"/>
          </w:tcPr>
          <w:p w:rsidR="00E648D6" w:rsidRPr="00341911" w:rsidRDefault="00E648D6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E648D6" w:rsidRPr="00341911" w:rsidRDefault="00A22E6F" w:rsidP="00341911">
            <w:pPr>
              <w:rPr>
                <w:rFonts w:ascii="Arial" w:eastAsia="Arial" w:hAnsi="Arial" w:cs="Arial"/>
                <w:spacing w:val="6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Insurance products and services</w:t>
            </w:r>
          </w:p>
        </w:tc>
        <w:tc>
          <w:tcPr>
            <w:tcW w:w="1607" w:type="dxa"/>
            <w:vAlign w:val="center"/>
          </w:tcPr>
          <w:p w:rsidR="00E648D6" w:rsidRPr="00341911" w:rsidRDefault="00E648D6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228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Concept, meaning of insurance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228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tabs>
                <w:tab w:val="left" w:pos="10980"/>
                <w:tab w:val="left" w:pos="11340"/>
              </w:tabs>
              <w:rPr>
                <w:rFonts w:ascii="Arial" w:eastAsia="Arial" w:hAnsi="Arial" w:cs="Arial"/>
                <w:spacing w:val="5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Principles of insurance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228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341911" w:rsidP="00341911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bidi="hi-IN"/>
              </w:rPr>
              <w:t xml:space="preserve">Types of insurance, </w:t>
            </w:r>
            <w:r w:rsidR="00A22E6F" w:rsidRPr="00341911">
              <w:rPr>
                <w:rFonts w:ascii="Arial" w:eastAsiaTheme="minorHAnsi" w:hAnsi="Arial" w:cs="Arial"/>
                <w:lang w:bidi="hi-IN"/>
              </w:rPr>
              <w:t>products &amp; services of insurance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228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tabs>
                <w:tab w:val="left" w:pos="10980"/>
                <w:tab w:val="left" w:pos="11340"/>
              </w:tabs>
              <w:rPr>
                <w:rFonts w:ascii="Arial" w:eastAsia="Arial" w:hAnsi="Arial" w:cs="Arial"/>
              </w:rPr>
            </w:pPr>
            <w:r w:rsidRPr="00341911">
              <w:rPr>
                <w:rFonts w:ascii="Arial" w:eastAsia="Arial" w:hAnsi="Arial" w:cs="Arial"/>
              </w:rPr>
              <w:t xml:space="preserve">Overview of </w:t>
            </w:r>
            <w:r w:rsidRPr="00341911">
              <w:rPr>
                <w:rFonts w:ascii="Arial" w:eastAsiaTheme="minorHAnsi" w:hAnsi="Arial" w:cs="Arial"/>
                <w:lang w:bidi="hi-IN"/>
              </w:rPr>
              <w:t>market players of insurance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ind w:left="90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8E4D37" w:rsidP="003419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lang w:bidi="hi-IN"/>
              </w:rPr>
            </w:pPr>
            <w:r w:rsidRPr="00341911">
              <w:rPr>
                <w:rFonts w:ascii="Arial" w:hAnsi="Arial" w:cs="Arial"/>
                <w:bCs/>
                <w:lang w:bidi="hi-IN"/>
              </w:rPr>
              <w:t>Total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  <w:r w:rsidR="00E648D6" w:rsidRPr="00341911">
              <w:rPr>
                <w:rFonts w:ascii="Arial" w:hAnsi="Arial" w:cs="Arial"/>
                <w:lang w:bidi="hi-IN"/>
              </w:rPr>
              <w:t>5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ind w:left="90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Mid-term II</w:t>
            </w: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lang w:bidi="hi-IN"/>
              </w:rPr>
            </w:pPr>
            <w:r w:rsidRPr="00341911">
              <w:rPr>
                <w:rFonts w:ascii="Arial" w:hAnsi="Arial" w:cs="Arial"/>
                <w:bCs/>
                <w:lang w:bidi="hi-IN"/>
              </w:rPr>
              <w:t>Sept</w:t>
            </w:r>
            <w:r w:rsidR="008E4D37" w:rsidRPr="00341911">
              <w:rPr>
                <w:rFonts w:ascii="Arial" w:hAnsi="Arial" w:cs="Arial"/>
                <w:bCs/>
                <w:lang w:bidi="hi-IN"/>
              </w:rPr>
              <w:t xml:space="preserve"> 20</w:t>
            </w:r>
            <w:r w:rsidRPr="00341911">
              <w:rPr>
                <w:rFonts w:ascii="Arial" w:hAnsi="Arial" w:cs="Arial"/>
                <w:bCs/>
                <w:lang w:bidi="hi-IN"/>
              </w:rPr>
              <w:t>20 to Oct</w:t>
            </w:r>
            <w:r w:rsidR="008E4D37" w:rsidRPr="00341911">
              <w:rPr>
                <w:rFonts w:ascii="Arial" w:hAnsi="Arial" w:cs="Arial"/>
                <w:bCs/>
                <w:lang w:bidi="hi-IN"/>
              </w:rPr>
              <w:t xml:space="preserve"> 20</w:t>
            </w:r>
            <w:r w:rsidRPr="00341911">
              <w:rPr>
                <w:rFonts w:ascii="Arial" w:hAnsi="Arial" w:cs="Arial"/>
                <w:bCs/>
                <w:lang w:bidi="hi-IN"/>
              </w:rPr>
              <w:t>20</w:t>
            </w:r>
          </w:p>
          <w:p w:rsidR="008E4D37" w:rsidRPr="00341911" w:rsidRDefault="008E4D37" w:rsidP="003419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bidi="hi-IN"/>
              </w:rPr>
            </w:pPr>
            <w:r w:rsidRPr="00341911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D00A1C" w:rsidRPr="00341911" w:rsidRDefault="008E4D37" w:rsidP="00341911">
            <w:pPr>
              <w:pStyle w:val="Heading1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auto"/>
                <w:spacing w:val="-3"/>
                <w:sz w:val="24"/>
                <w:szCs w:val="24"/>
              </w:rPr>
            </w:pPr>
            <w:r w:rsidRPr="0034191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bidi="hi-IN"/>
              </w:rPr>
              <w:t xml:space="preserve">3. </w:t>
            </w:r>
            <w:hyperlink r:id="rId8" w:history="1">
              <w:proofErr w:type="spellStart"/>
              <w:r w:rsidR="00D00A1C" w:rsidRPr="00341911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pacing w:val="-3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Gurusamy</w:t>
              </w:r>
              <w:proofErr w:type="spellEnd"/>
              <w:r w:rsidR="00D00A1C" w:rsidRPr="00341911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pacing w:val="-3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S</w:t>
              </w:r>
            </w:hyperlink>
            <w:r w:rsidRPr="0034191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D00A1C" w:rsidRPr="00341911">
              <w:rPr>
                <w:rStyle w:val="35kyd6"/>
                <w:rFonts w:ascii="Arial" w:hAnsi="Arial" w:cs="Arial"/>
                <w:b w:val="0"/>
                <w:bCs w:val="0"/>
                <w:color w:val="auto"/>
                <w:spacing w:val="-3"/>
                <w:sz w:val="24"/>
                <w:szCs w:val="24"/>
              </w:rPr>
              <w:t>Merchant Banking &amp; Financial Services</w:t>
            </w:r>
          </w:p>
          <w:p w:rsidR="008E4D37" w:rsidRPr="00341911" w:rsidRDefault="00D00A1C" w:rsidP="00341911">
            <w:pPr>
              <w:spacing w:before="2" w:line="242" w:lineRule="auto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spacing w:val="-3"/>
                <w:shd w:val="clear" w:color="auto" w:fill="FFFFFF"/>
              </w:rPr>
              <w:t xml:space="preserve"> Tata McGraw-Hill Education India</w:t>
            </w:r>
            <w:r w:rsidR="008E4D37" w:rsidRPr="00341911">
              <w:rPr>
                <w:rFonts w:ascii="Arial" w:hAnsi="Arial" w:cs="Arial"/>
                <w:shd w:val="clear" w:color="auto" w:fill="FFFFFF"/>
              </w:rPr>
              <w:t>,</w:t>
            </w:r>
            <w:r w:rsidRPr="0034191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4428B" w:rsidRPr="00341911">
              <w:rPr>
                <w:rFonts w:ascii="Arial" w:hAnsi="Arial" w:cs="Arial"/>
                <w:shd w:val="clear" w:color="auto" w:fill="FFFFFF"/>
              </w:rPr>
              <w:t>New Delhi.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4C5F97" w:rsidRPr="00CF55BB" w:rsidTr="00341911">
        <w:trPr>
          <w:trHeight w:val="162"/>
        </w:trPr>
        <w:tc>
          <w:tcPr>
            <w:tcW w:w="9601" w:type="dxa"/>
            <w:gridSpan w:val="4"/>
            <w:vAlign w:val="center"/>
          </w:tcPr>
          <w:p w:rsidR="004C5F97" w:rsidRPr="00341911" w:rsidRDefault="00A22E6F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Mutual Fund Products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spacing w:before="19"/>
              <w:rPr>
                <w:rFonts w:ascii="Arial" w:hAnsi="Arial" w:cs="Arial"/>
                <w:bCs/>
                <w:rtl/>
                <w: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Mutual fund: Concept, types of mutual funds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Schemes</w:t>
            </w:r>
            <w:r w:rsidR="00B83521" w:rsidRPr="00341911">
              <w:rPr>
                <w:rFonts w:ascii="Arial" w:eastAsiaTheme="minorHAnsi" w:hAnsi="Arial" w:cs="Arial"/>
                <w:lang w:bidi="hi-IN"/>
              </w:rPr>
              <w:t>, characteristics</w:t>
            </w:r>
            <w:r w:rsidRPr="00341911">
              <w:rPr>
                <w:rFonts w:ascii="Arial" w:eastAsiaTheme="minorHAnsi" w:hAnsi="Arial" w:cs="Arial"/>
                <w:lang w:bidi="hi-IN"/>
              </w:rPr>
              <w:t xml:space="preserve"> and investment plans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Benefits</w:t>
            </w:r>
            <w:r w:rsidR="00A22E6F" w:rsidRPr="00341911">
              <w:rPr>
                <w:rFonts w:ascii="Arial" w:hAnsi="Arial" w:cs="Arial"/>
                <w:lang w:bidi="hi-IN"/>
              </w:rPr>
              <w:t xml:space="preserve"> of </w:t>
            </w:r>
            <w:r w:rsidRPr="00341911">
              <w:rPr>
                <w:rFonts w:ascii="Arial" w:hAnsi="Arial" w:cs="Arial"/>
                <w:lang w:bidi="hi-IN"/>
              </w:rPr>
              <w:t>mutual fund in present context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A22E6F" w:rsidP="00341911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REITS and costs involved.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9601" w:type="dxa"/>
            <w:gridSpan w:val="4"/>
            <w:vAlign w:val="center"/>
          </w:tcPr>
          <w:p w:rsidR="008E4D37" w:rsidRPr="00341911" w:rsidRDefault="00B83521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lastRenderedPageBreak/>
              <w:t>Leasing, Hire purchase finance and consumer credit</w:t>
            </w:r>
          </w:p>
        </w:tc>
      </w:tr>
      <w:tr w:rsidR="008E4D37" w:rsidRPr="00CF55BB" w:rsidTr="00CC6B8B">
        <w:trPr>
          <w:trHeight w:val="33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 xml:space="preserve">Concept of </w:t>
            </w:r>
            <w:r w:rsidRPr="00341911">
              <w:rPr>
                <w:rFonts w:ascii="Arial" w:eastAsiaTheme="minorHAnsi" w:hAnsi="Arial" w:cs="Arial"/>
                <w:lang w:bidi="hi-IN"/>
              </w:rPr>
              <w:t>lease and classification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162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Significance and limitation,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Accounting, reporting and taxation financial evaluation</w:t>
            </w:r>
          </w:p>
        </w:tc>
        <w:tc>
          <w:tcPr>
            <w:tcW w:w="1607" w:type="dxa"/>
            <w:vAlign w:val="center"/>
          </w:tcPr>
          <w:p w:rsidR="008E4D37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Hire purchase finance</w:t>
            </w:r>
            <w:r w:rsidRPr="00341911">
              <w:rPr>
                <w:rFonts w:ascii="Arial" w:eastAsiaTheme="minorHAnsi" w:hAnsi="Arial" w:cs="Arial"/>
                <w:b/>
                <w:bCs/>
                <w:lang w:bidi="hi-IN"/>
              </w:rPr>
              <w:t xml:space="preserve">: </w:t>
            </w:r>
            <w:r w:rsidRPr="00341911">
              <w:rPr>
                <w:rFonts w:ascii="Arial" w:eastAsiaTheme="minorHAnsi" w:hAnsi="Arial" w:cs="Arial"/>
                <w:lang w:bidi="hi-IN"/>
              </w:rPr>
              <w:t>Concept, accounting,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ind w:right="1469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Reporting and taxation framework of HPF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B83521" w:rsidP="00341911">
            <w:pPr>
              <w:ind w:right="-72"/>
              <w:rPr>
                <w:rFonts w:ascii="Arial" w:hAnsi="Arial" w:cs="Arial"/>
                <w:b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financial evaluation of hire purchase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467"/>
        </w:trPr>
        <w:tc>
          <w:tcPr>
            <w:tcW w:w="9601" w:type="dxa"/>
            <w:gridSpan w:val="4"/>
            <w:vAlign w:val="center"/>
          </w:tcPr>
          <w:p w:rsidR="008E4D37" w:rsidRPr="00341911" w:rsidRDefault="00B83521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Factoring and Merchant banking services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4275EE" w:rsidP="00341911">
            <w:pPr>
              <w:ind w:right="-72"/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Concept of factoring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4275EE" w:rsidP="00341911">
            <w:pPr>
              <w:ind w:right="-72"/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Factoring and forfeiting services in India</w:t>
            </w:r>
          </w:p>
        </w:tc>
        <w:tc>
          <w:tcPr>
            <w:tcW w:w="1607" w:type="dxa"/>
            <w:vAlign w:val="center"/>
          </w:tcPr>
          <w:p w:rsidR="008E4D37" w:rsidRPr="00341911" w:rsidRDefault="00CC6B8B" w:rsidP="00341911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B15F49" w:rsidRPr="00CF55BB" w:rsidTr="00341911">
        <w:trPr>
          <w:trHeight w:val="383"/>
        </w:trPr>
        <w:tc>
          <w:tcPr>
            <w:tcW w:w="1523" w:type="dxa"/>
            <w:vAlign w:val="center"/>
          </w:tcPr>
          <w:p w:rsidR="00B15F49" w:rsidRPr="00341911" w:rsidRDefault="00B15F49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B15F49" w:rsidRPr="00341911" w:rsidRDefault="004275EE" w:rsidP="00341911">
            <w:pPr>
              <w:ind w:right="-72"/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Bill discounting schemes.</w:t>
            </w:r>
          </w:p>
        </w:tc>
        <w:tc>
          <w:tcPr>
            <w:tcW w:w="1607" w:type="dxa"/>
            <w:vAlign w:val="center"/>
          </w:tcPr>
          <w:p w:rsidR="00B15F49" w:rsidRPr="00341911" w:rsidRDefault="00B15F49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B15F49" w:rsidRPr="00CF55BB" w:rsidTr="00341911">
        <w:trPr>
          <w:trHeight w:val="383"/>
        </w:trPr>
        <w:tc>
          <w:tcPr>
            <w:tcW w:w="1523" w:type="dxa"/>
            <w:vAlign w:val="center"/>
          </w:tcPr>
          <w:p w:rsidR="00B15F49" w:rsidRPr="00341911" w:rsidRDefault="00B15F49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B15F49" w:rsidRPr="00341911" w:rsidRDefault="004275EE" w:rsidP="00341911">
            <w:pPr>
              <w:ind w:right="-72"/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Concept of merchant banking, its functions</w:t>
            </w:r>
            <w:r w:rsidRPr="00341911">
              <w:rPr>
                <w:rFonts w:ascii="Arial" w:eastAsiaTheme="minorHAnsi" w:hAnsi="Arial" w:cs="Arial"/>
                <w:b/>
                <w:bCs/>
                <w:lang w:bidi="hi-IN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:rsidR="00B15F49" w:rsidRPr="00341911" w:rsidRDefault="00B15F49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B15F49" w:rsidRPr="00CF55BB" w:rsidTr="00341911">
        <w:trPr>
          <w:trHeight w:val="383"/>
        </w:trPr>
        <w:tc>
          <w:tcPr>
            <w:tcW w:w="1523" w:type="dxa"/>
            <w:vAlign w:val="center"/>
          </w:tcPr>
          <w:p w:rsidR="00B15F49" w:rsidRPr="00341911" w:rsidRDefault="00B15F49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B15F49" w:rsidRPr="00341911" w:rsidRDefault="004275EE" w:rsidP="00341911">
            <w:pPr>
              <w:rPr>
                <w:rFonts w:ascii="Arial" w:eastAsia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Merchant banking services in India</w:t>
            </w:r>
          </w:p>
        </w:tc>
        <w:tc>
          <w:tcPr>
            <w:tcW w:w="1607" w:type="dxa"/>
            <w:vAlign w:val="center"/>
          </w:tcPr>
          <w:p w:rsidR="00B15F49" w:rsidRPr="00341911" w:rsidRDefault="00B15F49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8E4D37" w:rsidP="00341911">
            <w:pPr>
              <w:ind w:right="-72"/>
              <w:rPr>
                <w:rFonts w:ascii="Arial" w:eastAsia="Arial" w:hAnsi="Arial" w:cs="Arial"/>
                <w:bCs/>
              </w:rPr>
            </w:pPr>
            <w:r w:rsidRPr="00341911">
              <w:rPr>
                <w:rFonts w:ascii="Arial" w:eastAsia="Arial" w:hAnsi="Arial" w:cs="Arial"/>
                <w:bCs/>
              </w:rPr>
              <w:t>Total</w:t>
            </w: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  <w:r w:rsidR="00CC6B8B">
              <w:rPr>
                <w:rFonts w:ascii="Arial" w:hAnsi="Arial" w:cs="Arial"/>
                <w:lang w:bidi="hi-IN"/>
              </w:rPr>
              <w:t>6</w:t>
            </w:r>
          </w:p>
        </w:tc>
      </w:tr>
      <w:tr w:rsidR="008E4D37" w:rsidRPr="00CF55BB" w:rsidTr="00341911">
        <w:trPr>
          <w:trHeight w:val="383"/>
        </w:trPr>
        <w:tc>
          <w:tcPr>
            <w:tcW w:w="1523" w:type="dxa"/>
            <w:vAlign w:val="center"/>
          </w:tcPr>
          <w:p w:rsidR="008E4D37" w:rsidRPr="00341911" w:rsidRDefault="008E4D37" w:rsidP="00341911">
            <w:pPr>
              <w:ind w:left="720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End Term</w:t>
            </w:r>
          </w:p>
        </w:tc>
        <w:tc>
          <w:tcPr>
            <w:tcW w:w="6471" w:type="dxa"/>
            <w:gridSpan w:val="2"/>
            <w:vAlign w:val="center"/>
          </w:tcPr>
          <w:p w:rsidR="008E4D37" w:rsidRPr="00341911" w:rsidRDefault="004275EE" w:rsidP="00341911">
            <w:pPr>
              <w:ind w:right="-72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Oct to Nov</w:t>
            </w:r>
            <w:r w:rsidR="008E4D37" w:rsidRPr="00341911">
              <w:rPr>
                <w:rFonts w:ascii="Arial" w:hAnsi="Arial" w:cs="Arial"/>
                <w:lang w:bidi="hi-IN"/>
              </w:rPr>
              <w:t xml:space="preserve"> 20</w:t>
            </w:r>
            <w:r w:rsidRPr="00341911">
              <w:rPr>
                <w:rFonts w:ascii="Arial" w:hAnsi="Arial" w:cs="Arial"/>
                <w:lang w:bidi="hi-IN"/>
              </w:rPr>
              <w:t>20</w:t>
            </w:r>
          </w:p>
          <w:p w:rsidR="008E4D37" w:rsidRPr="00341911" w:rsidRDefault="008E4D37" w:rsidP="00341911">
            <w:pPr>
              <w:ind w:right="-72"/>
              <w:rPr>
                <w:rFonts w:ascii="Arial" w:eastAsia="Arial" w:hAnsi="Arial" w:cs="Arial"/>
                <w:bCs/>
              </w:rPr>
            </w:pPr>
          </w:p>
        </w:tc>
        <w:tc>
          <w:tcPr>
            <w:tcW w:w="1607" w:type="dxa"/>
            <w:vAlign w:val="center"/>
          </w:tcPr>
          <w:p w:rsidR="008E4D37" w:rsidRPr="00341911" w:rsidRDefault="008E4D37" w:rsidP="00341911">
            <w:pPr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eastAsia="Arial" w:hAnsi="Arial" w:cs="Arial"/>
                <w:spacing w:val="8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Overview of pre-issue management services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pacing w:val="8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Post- issue management services.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spacing w:before="51"/>
              <w:ind w:right="1467"/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Overview of Venture capital financing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Concept, types of venture funds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  <w:cs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Process of investment of venture capital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eastAsiaTheme="minorHAnsi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Investment valuation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6C7FC4" w:rsidRPr="00CF55BB" w:rsidTr="00341911">
        <w:trPr>
          <w:trHeight w:val="393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  <w:bCs/>
                <w:rtl/>
                <w:cs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Structuring a deal of venture capital, monitoring and follow-up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6C7FC4" w:rsidRPr="00CF55BB" w:rsidTr="00341911">
        <w:trPr>
          <w:trHeight w:val="307"/>
        </w:trPr>
        <w:tc>
          <w:tcPr>
            <w:tcW w:w="9601" w:type="dxa"/>
            <w:gridSpan w:val="4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  <w:cs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Credit Rating</w:t>
            </w:r>
          </w:p>
        </w:tc>
      </w:tr>
      <w:tr w:rsidR="006C7FC4" w:rsidRPr="00CF55BB" w:rsidTr="00341911">
        <w:trPr>
          <w:trHeight w:val="307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 xml:space="preserve">Credit Rating: meaning, concept 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6C7FC4" w:rsidRPr="00CF55BB" w:rsidTr="00341911">
        <w:trPr>
          <w:trHeight w:val="307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Credit rating agencies and their role,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</w:t>
            </w:r>
          </w:p>
        </w:tc>
      </w:tr>
      <w:tr w:rsidR="006C7FC4" w:rsidRPr="00CF55BB" w:rsidTr="00341911">
        <w:trPr>
          <w:trHeight w:val="307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eastAsia="Arial" w:hAnsi="Arial" w:cs="Arial"/>
              </w:rPr>
            </w:pPr>
            <w:r w:rsidRPr="00341911">
              <w:rPr>
                <w:rFonts w:ascii="Arial" w:eastAsiaTheme="minorHAnsi" w:hAnsi="Arial" w:cs="Arial"/>
                <w:lang w:bidi="hi-IN"/>
              </w:rPr>
              <w:t>Rating process and methodology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2</w:t>
            </w:r>
          </w:p>
        </w:tc>
      </w:tr>
      <w:tr w:rsidR="006C7FC4" w:rsidRPr="00CF55BB" w:rsidTr="00341911">
        <w:trPr>
          <w:trHeight w:val="307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 xml:space="preserve">Analysis of </w:t>
            </w:r>
            <w:r w:rsidRPr="00341911">
              <w:rPr>
                <w:rFonts w:ascii="Arial" w:eastAsiaTheme="minorHAnsi" w:hAnsi="Arial" w:cs="Arial"/>
                <w:lang w:bidi="hi-IN"/>
              </w:rPr>
              <w:t>rating symbols and grades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</w:rPr>
            </w:pPr>
            <w:r w:rsidRPr="00341911">
              <w:rPr>
                <w:rFonts w:ascii="Arial" w:hAnsi="Arial" w:cs="Arial"/>
              </w:rPr>
              <w:t>2</w:t>
            </w:r>
          </w:p>
        </w:tc>
      </w:tr>
      <w:tr w:rsidR="006C7FC4" w:rsidRPr="00CF55BB" w:rsidTr="00341911">
        <w:trPr>
          <w:trHeight w:val="307"/>
        </w:trPr>
        <w:tc>
          <w:tcPr>
            <w:tcW w:w="1523" w:type="dxa"/>
            <w:vAlign w:val="center"/>
          </w:tcPr>
          <w:p w:rsidR="006C7FC4" w:rsidRPr="00341911" w:rsidRDefault="006C7FC4" w:rsidP="0034191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71" w:type="dxa"/>
            <w:gridSpan w:val="2"/>
            <w:vAlign w:val="center"/>
          </w:tcPr>
          <w:p w:rsidR="006C7FC4" w:rsidRPr="00341911" w:rsidRDefault="006C7FC4" w:rsidP="00341911">
            <w:pPr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Total</w:t>
            </w:r>
          </w:p>
        </w:tc>
        <w:tc>
          <w:tcPr>
            <w:tcW w:w="1607" w:type="dxa"/>
            <w:vAlign w:val="center"/>
          </w:tcPr>
          <w:p w:rsidR="006C7FC4" w:rsidRPr="00341911" w:rsidRDefault="006C7FC4" w:rsidP="00341911">
            <w:pPr>
              <w:jc w:val="center"/>
              <w:rPr>
                <w:rFonts w:ascii="Arial" w:hAnsi="Arial" w:cs="Arial"/>
                <w:lang w:bidi="hi-IN"/>
              </w:rPr>
            </w:pPr>
            <w:r w:rsidRPr="00341911">
              <w:rPr>
                <w:rFonts w:ascii="Arial" w:hAnsi="Arial" w:cs="Arial"/>
                <w:lang w:bidi="hi-IN"/>
              </w:rPr>
              <w:t>17</w:t>
            </w:r>
          </w:p>
        </w:tc>
      </w:tr>
      <w:tr w:rsidR="006C7FC4" w:rsidRPr="00CF55BB" w:rsidTr="00341911">
        <w:trPr>
          <w:trHeight w:val="444"/>
        </w:trPr>
        <w:tc>
          <w:tcPr>
            <w:tcW w:w="7994" w:type="dxa"/>
            <w:gridSpan w:val="3"/>
          </w:tcPr>
          <w:p w:rsidR="006C7FC4" w:rsidRPr="00CF55BB" w:rsidRDefault="006C7FC4" w:rsidP="00F90EF4">
            <w:pPr>
              <w:jc w:val="right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Total Lectures</w:t>
            </w:r>
          </w:p>
        </w:tc>
        <w:tc>
          <w:tcPr>
            <w:tcW w:w="1607" w:type="dxa"/>
          </w:tcPr>
          <w:p w:rsidR="006C7FC4" w:rsidRPr="00CF55BB" w:rsidRDefault="006C7FC4" w:rsidP="00341911">
            <w:pPr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hAnsi="Arial" w:cs="Arial"/>
                <w:bCs/>
                <w:lang w:bidi="hi-IN"/>
              </w:rPr>
              <w:t>48</w:t>
            </w:r>
          </w:p>
        </w:tc>
      </w:tr>
    </w:tbl>
    <w:p w:rsidR="00C92722" w:rsidRDefault="00C92722">
      <w:pPr>
        <w:rPr>
          <w:rFonts w:ascii="Arial" w:hAnsi="Arial" w:cs="Arial"/>
        </w:rPr>
      </w:pPr>
    </w:p>
    <w:p w:rsidR="00052A16" w:rsidRPr="00052A16" w:rsidRDefault="00236C79" w:rsidP="00052A16">
      <w:pPr>
        <w:rPr>
          <w:rFonts w:ascii="Arial" w:hAnsi="Arial" w:cs="Arial"/>
        </w:rPr>
      </w:pPr>
      <w:hyperlink r:id="rId9" w:history="1">
        <w:r w:rsidR="00052A16" w:rsidRPr="00052A16">
          <w:rPr>
            <w:rStyle w:val="Hyperlink"/>
            <w:rFonts w:ascii="Arial" w:hAnsi="Arial" w:cs="Arial"/>
            <w:color w:val="auto"/>
            <w:u w:val="none"/>
          </w:rPr>
          <w:t>www.swayam.gov.in/www.nptel.ac.in-</w:t>
        </w:r>
      </w:hyperlink>
      <w:r w:rsidR="00052A16" w:rsidRPr="00052A16">
        <w:rPr>
          <w:rFonts w:ascii="Arial" w:hAnsi="Arial" w:cs="Arial"/>
        </w:rPr>
        <w:t xml:space="preserve"> </w:t>
      </w:r>
    </w:p>
    <w:p w:rsidR="00052A16" w:rsidRPr="00052A16" w:rsidRDefault="00052A16" w:rsidP="00052A16">
      <w:pPr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Will pu</w:t>
      </w:r>
      <w:r w:rsidR="00C542DD">
        <w:rPr>
          <w:rFonts w:ascii="Arial" w:hAnsi="Arial" w:cs="Arial"/>
        </w:rPr>
        <w:t>rsue course Banking &amp; Financial Services from July</w:t>
      </w:r>
      <w:r w:rsidRPr="00052A16">
        <w:rPr>
          <w:rFonts w:ascii="Arial" w:hAnsi="Arial" w:cs="Arial"/>
        </w:rPr>
        <w:t xml:space="preserve"> 2020 (if available on portal)</w:t>
      </w:r>
    </w:p>
    <w:p w:rsidR="00052A16" w:rsidRPr="00052A16" w:rsidRDefault="00052A16" w:rsidP="00052A16">
      <w:p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For Students:</w:t>
      </w:r>
    </w:p>
    <w:p w:rsidR="00052A16" w:rsidRPr="00052A16" w:rsidRDefault="00052A16" w:rsidP="00052A1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There are one mid-term examination, second midterm and one final examination.</w:t>
      </w:r>
    </w:p>
    <w:p w:rsidR="00052A16" w:rsidRPr="00052A16" w:rsidRDefault="00052A16" w:rsidP="00052A1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lastRenderedPageBreak/>
        <w:t>There should be many Quizzes to evaluate the performance of every student.</w:t>
      </w:r>
    </w:p>
    <w:p w:rsidR="00052A16" w:rsidRPr="00052A16" w:rsidRDefault="00052A16" w:rsidP="00052A1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There will be regular presentation on any topic of syllabus.</w:t>
      </w:r>
    </w:p>
    <w:p w:rsidR="00052A16" w:rsidRPr="00052A16" w:rsidRDefault="00052A16" w:rsidP="00052A1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52A16">
        <w:rPr>
          <w:rFonts w:ascii="Arial" w:hAnsi="Arial" w:cs="Arial"/>
        </w:rPr>
        <w:t>Group assignment and group presentation in every term.</w:t>
      </w:r>
    </w:p>
    <w:p w:rsidR="00052A16" w:rsidRPr="00052A16" w:rsidRDefault="00052A16" w:rsidP="00052A1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Think-pair-share (TPS): discussion with students about relevance and learning of the video.</w:t>
      </w:r>
    </w:p>
    <w:p w:rsidR="00052A16" w:rsidRPr="00052A16" w:rsidRDefault="00052A16" w:rsidP="00052A16">
      <w:pPr>
        <w:pStyle w:val="ListParagraph"/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a. Think (4 min): state present scenario and future prospect of these topics individually.</w:t>
      </w:r>
    </w:p>
    <w:p w:rsidR="00052A16" w:rsidRPr="00052A16" w:rsidRDefault="00052A16" w:rsidP="00052A16">
      <w:pPr>
        <w:pStyle w:val="ListParagraph"/>
        <w:spacing w:line="276" w:lineRule="auto"/>
        <w:rPr>
          <w:rFonts w:ascii="Arial" w:hAnsi="Arial" w:cs="Arial"/>
        </w:rPr>
      </w:pPr>
      <w:r w:rsidRPr="00052A16">
        <w:rPr>
          <w:rFonts w:ascii="Arial" w:hAnsi="Arial" w:cs="Arial"/>
        </w:rPr>
        <w:t>b. Pair (3 min): Students will present his/her points to the class and final answer is concluded by the teacher (Summarization).</w:t>
      </w:r>
    </w:p>
    <w:p w:rsidR="00052A16" w:rsidRPr="00052A16" w:rsidRDefault="00052A16" w:rsidP="00052A16">
      <w:pPr>
        <w:rPr>
          <w:rFonts w:ascii="Arial" w:hAnsi="Arial" w:cs="Arial"/>
        </w:rPr>
      </w:pPr>
    </w:p>
    <w:p w:rsidR="00052A16" w:rsidRPr="00052A16" w:rsidRDefault="00052A16" w:rsidP="00052A16">
      <w:pPr>
        <w:framePr w:hSpace="180" w:wrap="around" w:vAnchor="text" w:hAnchor="margin" w:y="-239"/>
        <w:rPr>
          <w:rFonts w:ascii="Arial" w:hAnsi="Arial" w:cs="Arial"/>
          <w:u w:val="single"/>
        </w:rPr>
      </w:pPr>
      <w:r w:rsidRPr="00052A16">
        <w:rPr>
          <w:rFonts w:ascii="Arial" w:hAnsi="Arial" w:cs="Arial"/>
          <w:u w:val="single"/>
        </w:rPr>
        <w:t>Evolution Criteria for the students:</w:t>
      </w:r>
    </w:p>
    <w:p w:rsidR="00052A16" w:rsidRPr="00052A16" w:rsidRDefault="00052A16" w:rsidP="00052A16">
      <w:pPr>
        <w:pStyle w:val="NoSpacing"/>
        <w:rPr>
          <w:rFonts w:ascii="Arial" w:hAnsi="Arial" w:cs="Arial"/>
        </w:rPr>
      </w:pPr>
    </w:p>
    <w:p w:rsidR="00052A16" w:rsidRPr="00052A16" w:rsidRDefault="00052A16" w:rsidP="00052A1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Mid-term Examination I – 25 marks</w:t>
      </w:r>
    </w:p>
    <w:p w:rsidR="00052A16" w:rsidRPr="00052A16" w:rsidRDefault="00052A16" w:rsidP="00052A1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Mid-term Examination II – 25 marks</w:t>
      </w:r>
    </w:p>
    <w:p w:rsidR="00052A16" w:rsidRPr="00052A16" w:rsidRDefault="00052A16" w:rsidP="00052A1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52A16">
        <w:rPr>
          <w:rFonts w:ascii="Arial" w:hAnsi="Arial" w:cs="Arial"/>
        </w:rPr>
        <w:t>End-term Examination – 100 marks</w:t>
      </w:r>
    </w:p>
    <w:p w:rsidR="00B7413A" w:rsidRPr="00D7152D" w:rsidRDefault="00B7413A">
      <w:pPr>
        <w:rPr>
          <w:rFonts w:ascii="Arial" w:hAnsi="Arial" w:cs="Arial"/>
        </w:rPr>
      </w:pPr>
    </w:p>
    <w:sectPr w:rsidR="00B7413A" w:rsidRPr="00D7152D" w:rsidSect="00C9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hybridMultilevel"/>
    <w:tmpl w:val="575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6A03"/>
    <w:multiLevelType w:val="multilevel"/>
    <w:tmpl w:val="A664E712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>
    <w:nsid w:val="05CD424D"/>
    <w:multiLevelType w:val="hybridMultilevel"/>
    <w:tmpl w:val="FED6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4642"/>
    <w:rsid w:val="000247A3"/>
    <w:rsid w:val="00052A16"/>
    <w:rsid w:val="00067C9B"/>
    <w:rsid w:val="000A4A27"/>
    <w:rsid w:val="000A57DC"/>
    <w:rsid w:val="000B485D"/>
    <w:rsid w:val="000C3AC5"/>
    <w:rsid w:val="000C75AC"/>
    <w:rsid w:val="000D78DA"/>
    <w:rsid w:val="000E3A73"/>
    <w:rsid w:val="000E5D44"/>
    <w:rsid w:val="000F2CFC"/>
    <w:rsid w:val="00132294"/>
    <w:rsid w:val="00133E90"/>
    <w:rsid w:val="001364BD"/>
    <w:rsid w:val="001426D9"/>
    <w:rsid w:val="00183303"/>
    <w:rsid w:val="00191E25"/>
    <w:rsid w:val="001944B9"/>
    <w:rsid w:val="001B1DD0"/>
    <w:rsid w:val="001E54FE"/>
    <w:rsid w:val="001F13F1"/>
    <w:rsid w:val="00205755"/>
    <w:rsid w:val="002241DF"/>
    <w:rsid w:val="00236C79"/>
    <w:rsid w:val="00244027"/>
    <w:rsid w:val="00274734"/>
    <w:rsid w:val="00293DB9"/>
    <w:rsid w:val="0029567D"/>
    <w:rsid w:val="002B4642"/>
    <w:rsid w:val="002F4F9D"/>
    <w:rsid w:val="00310EBA"/>
    <w:rsid w:val="00341911"/>
    <w:rsid w:val="0037190A"/>
    <w:rsid w:val="00374E83"/>
    <w:rsid w:val="003A2592"/>
    <w:rsid w:val="003A7A25"/>
    <w:rsid w:val="003B20D5"/>
    <w:rsid w:val="003B7828"/>
    <w:rsid w:val="003E79FC"/>
    <w:rsid w:val="004275EE"/>
    <w:rsid w:val="00450971"/>
    <w:rsid w:val="00466D5F"/>
    <w:rsid w:val="004805AA"/>
    <w:rsid w:val="004A55A3"/>
    <w:rsid w:val="004B474A"/>
    <w:rsid w:val="004C5F97"/>
    <w:rsid w:val="005778E3"/>
    <w:rsid w:val="005A09B8"/>
    <w:rsid w:val="005B4C30"/>
    <w:rsid w:val="005E4EE0"/>
    <w:rsid w:val="00611E80"/>
    <w:rsid w:val="00614750"/>
    <w:rsid w:val="0064372B"/>
    <w:rsid w:val="0064465D"/>
    <w:rsid w:val="00663160"/>
    <w:rsid w:val="00677C4A"/>
    <w:rsid w:val="006800DB"/>
    <w:rsid w:val="006B706B"/>
    <w:rsid w:val="006B7B0B"/>
    <w:rsid w:val="006C7FC4"/>
    <w:rsid w:val="00703060"/>
    <w:rsid w:val="00793644"/>
    <w:rsid w:val="00794700"/>
    <w:rsid w:val="007A115C"/>
    <w:rsid w:val="007B58F7"/>
    <w:rsid w:val="007D4106"/>
    <w:rsid w:val="007D517B"/>
    <w:rsid w:val="007E0BEC"/>
    <w:rsid w:val="007F0174"/>
    <w:rsid w:val="007F1061"/>
    <w:rsid w:val="008062CE"/>
    <w:rsid w:val="00806894"/>
    <w:rsid w:val="0081011E"/>
    <w:rsid w:val="008104C1"/>
    <w:rsid w:val="00814D20"/>
    <w:rsid w:val="008679BA"/>
    <w:rsid w:val="00872982"/>
    <w:rsid w:val="008D6EDE"/>
    <w:rsid w:val="008E4D37"/>
    <w:rsid w:val="008E6C0E"/>
    <w:rsid w:val="00912FB2"/>
    <w:rsid w:val="009213C1"/>
    <w:rsid w:val="00932D35"/>
    <w:rsid w:val="009342FA"/>
    <w:rsid w:val="00935B59"/>
    <w:rsid w:val="009360E4"/>
    <w:rsid w:val="009A2303"/>
    <w:rsid w:val="009D4B59"/>
    <w:rsid w:val="009F3DC4"/>
    <w:rsid w:val="00A22E6F"/>
    <w:rsid w:val="00A36891"/>
    <w:rsid w:val="00A87942"/>
    <w:rsid w:val="00AA5EF8"/>
    <w:rsid w:val="00AC2A48"/>
    <w:rsid w:val="00B06547"/>
    <w:rsid w:val="00B15F49"/>
    <w:rsid w:val="00B7413A"/>
    <w:rsid w:val="00B83521"/>
    <w:rsid w:val="00B911BB"/>
    <w:rsid w:val="00B930DF"/>
    <w:rsid w:val="00BA3E2A"/>
    <w:rsid w:val="00C3612E"/>
    <w:rsid w:val="00C542DD"/>
    <w:rsid w:val="00C762D5"/>
    <w:rsid w:val="00C874D1"/>
    <w:rsid w:val="00C92722"/>
    <w:rsid w:val="00C9759A"/>
    <w:rsid w:val="00CB4259"/>
    <w:rsid w:val="00CC6B8B"/>
    <w:rsid w:val="00CD0177"/>
    <w:rsid w:val="00CD2304"/>
    <w:rsid w:val="00CF55BB"/>
    <w:rsid w:val="00CF6D96"/>
    <w:rsid w:val="00D00A1C"/>
    <w:rsid w:val="00D16A8F"/>
    <w:rsid w:val="00D2665D"/>
    <w:rsid w:val="00D315F3"/>
    <w:rsid w:val="00D4428B"/>
    <w:rsid w:val="00D4616B"/>
    <w:rsid w:val="00D538E1"/>
    <w:rsid w:val="00D7152D"/>
    <w:rsid w:val="00D8570F"/>
    <w:rsid w:val="00DB1AFD"/>
    <w:rsid w:val="00DB7C82"/>
    <w:rsid w:val="00DF49FD"/>
    <w:rsid w:val="00E3526A"/>
    <w:rsid w:val="00E35C53"/>
    <w:rsid w:val="00E648D6"/>
    <w:rsid w:val="00E72CC7"/>
    <w:rsid w:val="00EE611B"/>
    <w:rsid w:val="00EF2AE9"/>
    <w:rsid w:val="00EF52A7"/>
    <w:rsid w:val="00F13F69"/>
    <w:rsid w:val="00F242A0"/>
    <w:rsid w:val="00F62E6F"/>
    <w:rsid w:val="00F64735"/>
    <w:rsid w:val="00F662AF"/>
    <w:rsid w:val="00F764C4"/>
    <w:rsid w:val="00F82286"/>
    <w:rsid w:val="00FE003B"/>
    <w:rsid w:val="00FF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A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6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B46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15F3"/>
  </w:style>
  <w:style w:type="character" w:customStyle="1" w:styleId="author">
    <w:name w:val="author"/>
    <w:basedOn w:val="DefaultParagraphFont"/>
    <w:rsid w:val="00D315F3"/>
  </w:style>
  <w:style w:type="character" w:styleId="Hyperlink">
    <w:name w:val="Hyperlink"/>
    <w:basedOn w:val="DefaultParagraphFont"/>
    <w:uiPriority w:val="99"/>
    <w:semiHidden/>
    <w:unhideWhenUsed/>
    <w:rsid w:val="00D315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15F3"/>
    <w:rPr>
      <w:i/>
      <w:iCs/>
    </w:rPr>
  </w:style>
  <w:style w:type="paragraph" w:customStyle="1" w:styleId="Default">
    <w:name w:val="Default"/>
    <w:rsid w:val="007D4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D7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5kyd6">
    <w:name w:val="_35kyd6"/>
    <w:basedOn w:val="DefaultParagraphFont"/>
    <w:rsid w:val="00D00A1C"/>
  </w:style>
  <w:style w:type="character" w:customStyle="1" w:styleId="Heading3Char">
    <w:name w:val="Heading 3 Char"/>
    <w:basedOn w:val="DefaultParagraphFont"/>
    <w:link w:val="Heading3"/>
    <w:uiPriority w:val="9"/>
    <w:rsid w:val="00D00A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1979">
                      <w:marLeft w:val="0"/>
                      <w:marRight w:val="0"/>
                      <w:marTop w:val="95"/>
                      <w:marBottom w:val="2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9701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810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kart.com/books/gurusamy-s~contributor/pr?sid=bk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kaspublishing.com/author-details/-nr-mohan-prakash/38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ayam.gov.in/www.nptel.ac.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9BC2-FBCA-4ED3-8CA3-CB5AE271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spsu</dc:creator>
  <cp:lastModifiedBy>Manish</cp:lastModifiedBy>
  <cp:revision>54</cp:revision>
  <dcterms:created xsi:type="dcterms:W3CDTF">2017-11-20T10:05:00Z</dcterms:created>
  <dcterms:modified xsi:type="dcterms:W3CDTF">2020-06-23T05:59:00Z</dcterms:modified>
</cp:coreProperties>
</file>