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Default="002F73C3"/>
    <w:p w:rsidR="00391D75" w:rsidRDefault="00391D75"/>
    <w:p w:rsidR="00391D75" w:rsidRDefault="00391D75"/>
    <w:p w:rsidR="00391D75" w:rsidRDefault="00391D75">
      <w:pPr>
        <w:rPr>
          <w:rFonts w:ascii="Helvetica" w:hAnsi="Helvetica"/>
          <w:color w:val="333333"/>
          <w:sz w:val="39"/>
          <w:szCs w:val="39"/>
          <w:shd w:val="clear" w:color="auto" w:fill="FFFFFF"/>
        </w:rPr>
      </w:pPr>
      <w:r>
        <w:rPr>
          <w:rFonts w:ascii="Helvetica" w:hAnsi="Helvetica"/>
          <w:color w:val="333333"/>
          <w:sz w:val="39"/>
          <w:szCs w:val="39"/>
          <w:shd w:val="clear" w:color="auto" w:fill="FFFFFF"/>
        </w:rPr>
        <w:t>A major difference between GAAP and IFRS is that GAAP is rule-based, whereas IFRS is principle-based</w:t>
      </w:r>
    </w:p>
    <w:p w:rsidR="00391D75" w:rsidRDefault="00391D75">
      <w:pPr>
        <w:rPr>
          <w:rFonts w:ascii="Helvetica" w:hAnsi="Helvetica"/>
          <w:color w:val="333333"/>
          <w:sz w:val="39"/>
          <w:szCs w:val="39"/>
          <w:shd w:val="clear" w:color="auto" w:fill="FFFFFF"/>
        </w:rPr>
      </w:pPr>
    </w:p>
    <w:p w:rsidR="00391D75" w:rsidRPr="00391D75" w:rsidRDefault="00391D75" w:rsidP="00391D75">
      <w:pPr>
        <w:shd w:val="clear" w:color="auto" w:fill="FFFFFF"/>
        <w:spacing w:after="120" w:line="240" w:lineRule="auto"/>
        <w:textAlignment w:val="baseline"/>
        <w:outlineLvl w:val="1"/>
        <w:rPr>
          <w:rFonts w:ascii="Helvetica" w:eastAsia="Times New Roman" w:hAnsi="Helvetica" w:cs="Times New Roman"/>
          <w:color w:val="333333"/>
          <w:sz w:val="48"/>
          <w:szCs w:val="48"/>
          <w:lang w:bidi="hi-IN"/>
        </w:rPr>
      </w:pPr>
      <w:r w:rsidRPr="00391D75">
        <w:rPr>
          <w:rFonts w:ascii="Helvetica" w:eastAsia="Times New Roman" w:hAnsi="Helvetica" w:cs="Times New Roman"/>
          <w:color w:val="333333"/>
          <w:sz w:val="48"/>
          <w:szCs w:val="48"/>
          <w:lang w:bidi="hi-IN"/>
        </w:rPr>
        <w:t>GAAP vs. IFRS</w:t>
      </w:r>
    </w:p>
    <w:p w:rsidR="00391D75" w:rsidRPr="00391D75" w:rsidRDefault="00391D75" w:rsidP="00391D75">
      <w:pPr>
        <w:shd w:val="clear" w:color="auto" w:fill="FFFFFF"/>
        <w:spacing w:after="0" w:line="480" w:lineRule="auto"/>
        <w:textAlignment w:val="baseline"/>
        <w:rPr>
          <w:rFonts w:ascii="Georgia" w:eastAsia="Times New Roman" w:hAnsi="Georgia" w:cs="Times New Roman"/>
          <w:color w:val="555555"/>
          <w:sz w:val="27"/>
          <w:szCs w:val="27"/>
          <w:lang w:bidi="hi-IN"/>
        </w:rPr>
      </w:pPr>
      <w:r w:rsidRPr="00391D75">
        <w:rPr>
          <w:rFonts w:ascii="inherit" w:eastAsia="Times New Roman" w:hAnsi="inherit" w:cs="Times New Roman"/>
          <w:i/>
          <w:iCs/>
          <w:color w:val="555555"/>
          <w:sz w:val="27"/>
          <w:lang w:bidi="hi-IN"/>
        </w:rPr>
        <w:t>Principles Based vs. Rules Based</w:t>
      </w:r>
    </w:p>
    <w:p w:rsidR="00391D75" w:rsidRPr="002F73C3" w:rsidRDefault="00391D75" w:rsidP="002F73C3">
      <w:pPr>
        <w:pStyle w:val="ListParagraph"/>
        <w:numPr>
          <w:ilvl w:val="0"/>
          <w:numId w:val="2"/>
        </w:numPr>
        <w:shd w:val="clear" w:color="auto" w:fill="FFFFFF"/>
        <w:spacing w:before="240" w:after="240" w:line="480" w:lineRule="auto"/>
        <w:textAlignment w:val="baseline"/>
        <w:rPr>
          <w:rFonts w:ascii="Georgia" w:eastAsia="Times New Roman" w:hAnsi="Georgia" w:cs="Times New Roman"/>
          <w:color w:val="555555"/>
          <w:sz w:val="27"/>
          <w:szCs w:val="27"/>
          <w:lang w:bidi="hi-IN"/>
        </w:rPr>
      </w:pPr>
      <w:r w:rsidRPr="002F73C3">
        <w:rPr>
          <w:rFonts w:ascii="Georgia" w:eastAsia="Times New Roman" w:hAnsi="Georgia" w:cs="Times New Roman"/>
          <w:color w:val="555555"/>
          <w:sz w:val="27"/>
          <w:szCs w:val="27"/>
          <w:lang w:bidi="hi-IN"/>
        </w:rPr>
        <w:t>A major difference between GAAP and IFRS is that GAAP is rule-based, whereas IFRS is principle-based.</w:t>
      </w:r>
    </w:p>
    <w:p w:rsidR="00391D75" w:rsidRPr="002F73C3" w:rsidRDefault="00391D75" w:rsidP="002F73C3">
      <w:pPr>
        <w:pStyle w:val="ListParagraph"/>
        <w:numPr>
          <w:ilvl w:val="0"/>
          <w:numId w:val="2"/>
        </w:numPr>
        <w:shd w:val="clear" w:color="auto" w:fill="FFFFFF"/>
        <w:spacing w:before="240" w:after="240" w:line="480" w:lineRule="auto"/>
        <w:textAlignment w:val="baseline"/>
        <w:rPr>
          <w:rFonts w:ascii="Georgia" w:eastAsia="Times New Roman" w:hAnsi="Georgia" w:cs="Times New Roman"/>
          <w:color w:val="555555"/>
          <w:sz w:val="27"/>
          <w:szCs w:val="27"/>
          <w:lang w:bidi="hi-IN"/>
        </w:rPr>
      </w:pPr>
      <w:r w:rsidRPr="002F73C3">
        <w:rPr>
          <w:rFonts w:ascii="Georgia" w:eastAsia="Times New Roman" w:hAnsi="Georgia" w:cs="Times New Roman"/>
          <w:color w:val="555555"/>
          <w:sz w:val="27"/>
          <w:szCs w:val="27"/>
          <w:lang w:bidi="hi-IN"/>
        </w:rPr>
        <w:t>Another difference between IFRS and GAAP is the methodology used to assess an accounting treatment. Under GAAP, the research is more focused on the literature whereas under IFRS, the review of the facts pattern is more thorough.</w:t>
      </w:r>
    </w:p>
    <w:p w:rsidR="00391D75" w:rsidRPr="002F73C3" w:rsidRDefault="00391D75" w:rsidP="002F73C3">
      <w:pPr>
        <w:pStyle w:val="ListParagraph"/>
        <w:numPr>
          <w:ilvl w:val="0"/>
          <w:numId w:val="2"/>
        </w:numPr>
        <w:shd w:val="clear" w:color="auto" w:fill="FFFFFF"/>
        <w:spacing w:after="0" w:line="480" w:lineRule="auto"/>
        <w:textAlignment w:val="baseline"/>
        <w:rPr>
          <w:rFonts w:ascii="Georgia" w:eastAsia="Times New Roman" w:hAnsi="Georgia" w:cs="Times New Roman"/>
          <w:color w:val="555555"/>
          <w:sz w:val="27"/>
          <w:szCs w:val="27"/>
          <w:lang w:bidi="hi-IN"/>
        </w:rPr>
      </w:pPr>
      <w:r w:rsidRPr="002F73C3">
        <w:rPr>
          <w:rFonts w:ascii="Georgia" w:eastAsia="Times New Roman" w:hAnsi="Georgia" w:cs="Times New Roman"/>
          <w:color w:val="555555"/>
          <w:sz w:val="27"/>
          <w:szCs w:val="27"/>
          <w:lang w:bidi="hi-IN"/>
        </w:rPr>
        <w:t>Consolidation — IFRS favors a</w:t>
      </w:r>
      <w:r w:rsidRPr="002F73C3">
        <w:rPr>
          <w:rFonts w:ascii="Georgia" w:eastAsia="Times New Roman" w:hAnsi="Georgia" w:cs="Times New Roman"/>
          <w:color w:val="555555"/>
          <w:sz w:val="27"/>
          <w:lang w:bidi="hi-IN"/>
        </w:rPr>
        <w:t> </w:t>
      </w:r>
      <w:hyperlink r:id="rId6" w:history="1">
        <w:r w:rsidRPr="002F73C3">
          <w:rPr>
            <w:rFonts w:ascii="inherit" w:eastAsia="Times New Roman" w:hAnsi="inherit" w:cs="Times New Roman"/>
            <w:color w:val="262626"/>
            <w:sz w:val="27"/>
            <w:lang w:bidi="hi-IN"/>
          </w:rPr>
          <w:t>control</w:t>
        </w:r>
      </w:hyperlink>
      <w:r w:rsidRPr="002F73C3">
        <w:rPr>
          <w:rFonts w:ascii="Georgia" w:eastAsia="Times New Roman" w:hAnsi="Georgia" w:cs="Times New Roman"/>
          <w:color w:val="555555"/>
          <w:sz w:val="27"/>
          <w:lang w:bidi="hi-IN"/>
        </w:rPr>
        <w:t> </w:t>
      </w:r>
      <w:r w:rsidRPr="002F73C3">
        <w:rPr>
          <w:rFonts w:ascii="Georgia" w:eastAsia="Times New Roman" w:hAnsi="Georgia" w:cs="Times New Roman"/>
          <w:color w:val="555555"/>
          <w:sz w:val="27"/>
          <w:szCs w:val="27"/>
          <w:lang w:bidi="hi-IN"/>
        </w:rPr>
        <w:t>model whereas GAAP prefers a risks-and-rewards model. Some</w:t>
      </w:r>
      <w:r w:rsidRPr="002F73C3">
        <w:rPr>
          <w:rFonts w:ascii="Georgia" w:eastAsia="Times New Roman" w:hAnsi="Georgia" w:cs="Times New Roman"/>
          <w:color w:val="555555"/>
          <w:sz w:val="27"/>
          <w:lang w:bidi="hi-IN"/>
        </w:rPr>
        <w:t> </w:t>
      </w:r>
      <w:hyperlink r:id="rId7" w:history="1">
        <w:r w:rsidRPr="002F73C3">
          <w:rPr>
            <w:rFonts w:ascii="inherit" w:eastAsia="Times New Roman" w:hAnsi="inherit" w:cs="Times New Roman"/>
            <w:color w:val="262626"/>
            <w:sz w:val="27"/>
            <w:lang w:bidi="hi-IN"/>
          </w:rPr>
          <w:t>entities</w:t>
        </w:r>
      </w:hyperlink>
      <w:r w:rsidRPr="002F73C3">
        <w:rPr>
          <w:rFonts w:ascii="Georgia" w:eastAsia="Times New Roman" w:hAnsi="Georgia" w:cs="Times New Roman"/>
          <w:color w:val="555555"/>
          <w:sz w:val="27"/>
          <w:lang w:bidi="hi-IN"/>
        </w:rPr>
        <w:t> </w:t>
      </w:r>
      <w:r w:rsidRPr="002F73C3">
        <w:rPr>
          <w:rFonts w:ascii="Georgia" w:eastAsia="Times New Roman" w:hAnsi="Georgia" w:cs="Times New Roman"/>
          <w:color w:val="555555"/>
          <w:sz w:val="27"/>
          <w:szCs w:val="27"/>
          <w:lang w:bidi="hi-IN"/>
        </w:rPr>
        <w:t>consolidated in accordance with FIN 46(R) may have to be shown separately under IFRS.</w:t>
      </w:r>
    </w:p>
    <w:p w:rsidR="00391D75" w:rsidRPr="00391D75" w:rsidRDefault="00391D75" w:rsidP="002F73C3">
      <w:pPr>
        <w:numPr>
          <w:ilvl w:val="0"/>
          <w:numId w:val="2"/>
        </w:numPr>
        <w:shd w:val="clear" w:color="auto" w:fill="FFFFFF"/>
        <w:spacing w:after="0" w:line="480" w:lineRule="auto"/>
        <w:ind w:left="0"/>
        <w:textAlignment w:val="baseline"/>
        <w:rPr>
          <w:rFonts w:ascii="Georgia" w:eastAsia="Times New Roman" w:hAnsi="Georgia" w:cs="Times New Roman"/>
          <w:color w:val="555555"/>
          <w:sz w:val="27"/>
          <w:szCs w:val="27"/>
          <w:lang w:bidi="hi-IN"/>
        </w:rPr>
      </w:pPr>
      <w:r w:rsidRPr="00391D75">
        <w:rPr>
          <w:rFonts w:ascii="Georgia" w:eastAsia="Times New Roman" w:hAnsi="Georgia" w:cs="Times New Roman"/>
          <w:color w:val="555555"/>
          <w:sz w:val="27"/>
          <w:szCs w:val="27"/>
          <w:lang w:bidi="hi-IN"/>
        </w:rPr>
        <w:t>Statement of</w:t>
      </w:r>
      <w:r w:rsidRPr="00391D75">
        <w:rPr>
          <w:rFonts w:ascii="Georgia" w:eastAsia="Times New Roman" w:hAnsi="Georgia" w:cs="Times New Roman"/>
          <w:color w:val="555555"/>
          <w:sz w:val="27"/>
          <w:lang w:bidi="hi-IN"/>
        </w:rPr>
        <w:t> </w:t>
      </w:r>
      <w:hyperlink r:id="rId8" w:history="1">
        <w:r w:rsidRPr="00391D75">
          <w:rPr>
            <w:rFonts w:ascii="inherit" w:eastAsia="Times New Roman" w:hAnsi="inherit" w:cs="Times New Roman"/>
            <w:color w:val="262626"/>
            <w:sz w:val="27"/>
            <w:lang w:bidi="hi-IN"/>
          </w:rPr>
          <w:t>Income</w:t>
        </w:r>
      </w:hyperlink>
      <w:r w:rsidRPr="00391D75">
        <w:rPr>
          <w:rFonts w:ascii="Georgia" w:eastAsia="Times New Roman" w:hAnsi="Georgia" w:cs="Times New Roman"/>
          <w:color w:val="555555"/>
          <w:sz w:val="27"/>
          <w:lang w:bidi="hi-IN"/>
        </w:rPr>
        <w:t> </w:t>
      </w:r>
      <w:r w:rsidRPr="00391D75">
        <w:rPr>
          <w:rFonts w:ascii="Georgia" w:eastAsia="Times New Roman" w:hAnsi="Georgia" w:cs="Times New Roman"/>
          <w:color w:val="555555"/>
          <w:sz w:val="27"/>
          <w:szCs w:val="27"/>
          <w:lang w:bidi="hi-IN"/>
        </w:rPr>
        <w:t>— Under IFRS,</w:t>
      </w:r>
      <w:r w:rsidRPr="00391D75">
        <w:rPr>
          <w:rFonts w:ascii="Georgia" w:eastAsia="Times New Roman" w:hAnsi="Georgia" w:cs="Times New Roman"/>
          <w:color w:val="555555"/>
          <w:sz w:val="27"/>
          <w:lang w:bidi="hi-IN"/>
        </w:rPr>
        <w:t> </w:t>
      </w:r>
      <w:hyperlink r:id="rId9" w:history="1">
        <w:r w:rsidRPr="00391D75">
          <w:rPr>
            <w:rFonts w:ascii="inherit" w:eastAsia="Times New Roman" w:hAnsi="inherit" w:cs="Times New Roman"/>
            <w:color w:val="262626"/>
            <w:sz w:val="27"/>
            <w:lang w:bidi="hi-IN"/>
          </w:rPr>
          <w:t>extraordinary</w:t>
        </w:r>
      </w:hyperlink>
      <w:r w:rsidRPr="00391D75">
        <w:rPr>
          <w:rFonts w:ascii="Georgia" w:eastAsia="Times New Roman" w:hAnsi="Georgia" w:cs="Times New Roman"/>
          <w:color w:val="555555"/>
          <w:sz w:val="27"/>
          <w:lang w:bidi="hi-IN"/>
        </w:rPr>
        <w:t> </w:t>
      </w:r>
      <w:r w:rsidRPr="00391D75">
        <w:rPr>
          <w:rFonts w:ascii="Georgia" w:eastAsia="Times New Roman" w:hAnsi="Georgia" w:cs="Times New Roman"/>
          <w:color w:val="555555"/>
          <w:sz w:val="27"/>
          <w:szCs w:val="27"/>
          <w:lang w:bidi="hi-IN"/>
        </w:rPr>
        <w:t xml:space="preserve">items are not segregated in </w:t>
      </w:r>
      <w:proofErr w:type="spellStart"/>
      <w:r w:rsidRPr="00391D75">
        <w:rPr>
          <w:rFonts w:ascii="Georgia" w:eastAsia="Times New Roman" w:hAnsi="Georgia" w:cs="Times New Roman"/>
          <w:color w:val="555555"/>
          <w:sz w:val="27"/>
          <w:szCs w:val="27"/>
          <w:lang w:bidi="hi-IN"/>
        </w:rPr>
        <w:t>the</w:t>
      </w:r>
      <w:hyperlink r:id="rId10" w:history="1">
        <w:r w:rsidRPr="00391D75">
          <w:rPr>
            <w:rFonts w:ascii="inherit" w:eastAsia="Times New Roman" w:hAnsi="inherit" w:cs="Times New Roman"/>
            <w:color w:val="262626"/>
            <w:sz w:val="27"/>
            <w:lang w:bidi="hi-IN"/>
          </w:rPr>
          <w:t>income</w:t>
        </w:r>
        <w:proofErr w:type="spellEnd"/>
        <w:r w:rsidRPr="00391D75">
          <w:rPr>
            <w:rFonts w:ascii="inherit" w:eastAsia="Times New Roman" w:hAnsi="inherit" w:cs="Times New Roman"/>
            <w:color w:val="262626"/>
            <w:sz w:val="27"/>
            <w:lang w:bidi="hi-IN"/>
          </w:rPr>
          <w:t xml:space="preserve"> statement</w:t>
        </w:r>
      </w:hyperlink>
      <w:r w:rsidRPr="00391D75">
        <w:rPr>
          <w:rFonts w:ascii="Georgia" w:eastAsia="Times New Roman" w:hAnsi="Georgia" w:cs="Times New Roman"/>
          <w:color w:val="555555"/>
          <w:sz w:val="27"/>
          <w:szCs w:val="27"/>
          <w:lang w:bidi="hi-IN"/>
        </w:rPr>
        <w:t>. With GAAP, they are shown below the</w:t>
      </w:r>
      <w:r w:rsidRPr="00391D75">
        <w:rPr>
          <w:rFonts w:ascii="Georgia" w:eastAsia="Times New Roman" w:hAnsi="Georgia" w:cs="Times New Roman"/>
          <w:color w:val="555555"/>
          <w:sz w:val="27"/>
          <w:lang w:bidi="hi-IN"/>
        </w:rPr>
        <w:t> </w:t>
      </w:r>
      <w:hyperlink r:id="rId11" w:history="1">
        <w:r w:rsidRPr="00391D75">
          <w:rPr>
            <w:rFonts w:ascii="inherit" w:eastAsia="Times New Roman" w:hAnsi="inherit" w:cs="Times New Roman"/>
            <w:color w:val="262626"/>
            <w:sz w:val="27"/>
            <w:lang w:bidi="hi-IN"/>
          </w:rPr>
          <w:t>net income</w:t>
        </w:r>
      </w:hyperlink>
      <w:r w:rsidRPr="00391D75">
        <w:rPr>
          <w:rFonts w:ascii="Georgia" w:eastAsia="Times New Roman" w:hAnsi="Georgia" w:cs="Times New Roman"/>
          <w:color w:val="555555"/>
          <w:sz w:val="27"/>
          <w:szCs w:val="27"/>
          <w:lang w:bidi="hi-IN"/>
        </w:rPr>
        <w:t>.</w:t>
      </w:r>
    </w:p>
    <w:p w:rsidR="00391D75" w:rsidRPr="00391D75" w:rsidRDefault="00784112" w:rsidP="002F73C3">
      <w:pPr>
        <w:numPr>
          <w:ilvl w:val="0"/>
          <w:numId w:val="2"/>
        </w:numPr>
        <w:shd w:val="clear" w:color="auto" w:fill="FFFFFF"/>
        <w:spacing w:after="0" w:line="480" w:lineRule="auto"/>
        <w:ind w:left="0"/>
        <w:textAlignment w:val="baseline"/>
        <w:rPr>
          <w:rFonts w:ascii="Georgia" w:eastAsia="Times New Roman" w:hAnsi="Georgia" w:cs="Times New Roman"/>
          <w:color w:val="555555"/>
          <w:sz w:val="27"/>
          <w:szCs w:val="27"/>
          <w:lang w:bidi="hi-IN"/>
        </w:rPr>
      </w:pPr>
      <w:hyperlink r:id="rId12" w:history="1">
        <w:r w:rsidR="00391D75" w:rsidRPr="00391D75">
          <w:rPr>
            <w:rFonts w:ascii="inherit" w:eastAsia="Times New Roman" w:hAnsi="inherit" w:cs="Times New Roman"/>
            <w:color w:val="262626"/>
            <w:sz w:val="27"/>
            <w:lang w:bidi="hi-IN"/>
          </w:rPr>
          <w:t>Inventory</w:t>
        </w:r>
      </w:hyperlink>
      <w:r w:rsidR="00391D75" w:rsidRPr="00391D75">
        <w:rPr>
          <w:rFonts w:ascii="Georgia" w:eastAsia="Times New Roman" w:hAnsi="Georgia" w:cs="Times New Roman"/>
          <w:color w:val="555555"/>
          <w:sz w:val="27"/>
          <w:lang w:bidi="hi-IN"/>
        </w:rPr>
        <w:t> </w:t>
      </w:r>
      <w:r w:rsidR="00391D75" w:rsidRPr="00391D75">
        <w:rPr>
          <w:rFonts w:ascii="Georgia" w:eastAsia="Times New Roman" w:hAnsi="Georgia" w:cs="Times New Roman"/>
          <w:color w:val="555555"/>
          <w:sz w:val="27"/>
          <w:szCs w:val="27"/>
          <w:lang w:bidi="hi-IN"/>
        </w:rPr>
        <w:t>— Under IFRS,</w:t>
      </w:r>
      <w:r w:rsidR="00391D75" w:rsidRPr="00391D75">
        <w:rPr>
          <w:rFonts w:ascii="Georgia" w:eastAsia="Times New Roman" w:hAnsi="Georgia" w:cs="Times New Roman"/>
          <w:color w:val="555555"/>
          <w:sz w:val="27"/>
          <w:lang w:bidi="hi-IN"/>
        </w:rPr>
        <w:t> </w:t>
      </w:r>
      <w:hyperlink r:id="rId13" w:history="1">
        <w:r w:rsidR="00391D75" w:rsidRPr="00391D75">
          <w:rPr>
            <w:rFonts w:ascii="inherit" w:eastAsia="Times New Roman" w:hAnsi="inherit" w:cs="Times New Roman"/>
            <w:color w:val="262626"/>
            <w:sz w:val="27"/>
            <w:lang w:bidi="hi-IN"/>
          </w:rPr>
          <w:t>LIFO</w:t>
        </w:r>
      </w:hyperlink>
      <w:r w:rsidR="00391D75" w:rsidRPr="00391D75">
        <w:rPr>
          <w:rFonts w:ascii="Georgia" w:eastAsia="Times New Roman" w:hAnsi="Georgia" w:cs="Times New Roman"/>
          <w:color w:val="555555"/>
          <w:sz w:val="27"/>
          <w:lang w:bidi="hi-IN"/>
        </w:rPr>
        <w:t> </w:t>
      </w:r>
      <w:r w:rsidR="00391D75" w:rsidRPr="00391D75">
        <w:rPr>
          <w:rFonts w:ascii="Georgia" w:eastAsia="Times New Roman" w:hAnsi="Georgia" w:cs="Times New Roman"/>
          <w:color w:val="555555"/>
          <w:sz w:val="27"/>
          <w:szCs w:val="27"/>
          <w:lang w:bidi="hi-IN"/>
        </w:rPr>
        <w:t xml:space="preserve">cannot be used, but </w:t>
      </w:r>
      <w:proofErr w:type="gramStart"/>
      <w:r w:rsidR="00391D75" w:rsidRPr="00391D75">
        <w:rPr>
          <w:rFonts w:ascii="Georgia" w:eastAsia="Times New Roman" w:hAnsi="Georgia" w:cs="Times New Roman"/>
          <w:color w:val="555555"/>
          <w:sz w:val="27"/>
          <w:szCs w:val="27"/>
          <w:lang w:bidi="hi-IN"/>
        </w:rPr>
        <w:t>GAAP,</w:t>
      </w:r>
      <w:proofErr w:type="gramEnd"/>
      <w:r w:rsidR="00391D75" w:rsidRPr="00391D75">
        <w:rPr>
          <w:rFonts w:ascii="Georgia" w:eastAsia="Times New Roman" w:hAnsi="Georgia" w:cs="Times New Roman"/>
          <w:color w:val="555555"/>
          <w:sz w:val="27"/>
          <w:szCs w:val="27"/>
          <w:lang w:bidi="hi-IN"/>
        </w:rPr>
        <w:t xml:space="preserve"> companies have the choice between LIFO and</w:t>
      </w:r>
      <w:r w:rsidR="00391D75" w:rsidRPr="00391D75">
        <w:rPr>
          <w:rFonts w:ascii="Georgia" w:eastAsia="Times New Roman" w:hAnsi="Georgia" w:cs="Times New Roman"/>
          <w:color w:val="555555"/>
          <w:sz w:val="27"/>
          <w:lang w:bidi="hi-IN"/>
        </w:rPr>
        <w:t> </w:t>
      </w:r>
      <w:hyperlink r:id="rId14" w:history="1">
        <w:r w:rsidR="00391D75" w:rsidRPr="00391D75">
          <w:rPr>
            <w:rFonts w:ascii="inherit" w:eastAsia="Times New Roman" w:hAnsi="inherit" w:cs="Times New Roman"/>
            <w:color w:val="262626"/>
            <w:sz w:val="27"/>
            <w:lang w:bidi="hi-IN"/>
          </w:rPr>
          <w:t>FIFO</w:t>
        </w:r>
      </w:hyperlink>
      <w:r w:rsidR="00391D75" w:rsidRPr="00391D75">
        <w:rPr>
          <w:rFonts w:ascii="Georgia" w:eastAsia="Times New Roman" w:hAnsi="Georgia" w:cs="Times New Roman"/>
          <w:color w:val="555555"/>
          <w:sz w:val="27"/>
          <w:szCs w:val="27"/>
          <w:lang w:bidi="hi-IN"/>
        </w:rPr>
        <w:t>.</w:t>
      </w:r>
    </w:p>
    <w:p w:rsidR="00391D75" w:rsidRPr="00391D75" w:rsidRDefault="00391D75" w:rsidP="002F73C3">
      <w:pPr>
        <w:numPr>
          <w:ilvl w:val="0"/>
          <w:numId w:val="2"/>
        </w:numPr>
        <w:shd w:val="clear" w:color="auto" w:fill="FFFFFF"/>
        <w:spacing w:before="120" w:after="120" w:line="480" w:lineRule="auto"/>
        <w:ind w:left="0"/>
        <w:textAlignment w:val="baseline"/>
        <w:rPr>
          <w:rFonts w:ascii="Georgia" w:eastAsia="Times New Roman" w:hAnsi="Georgia" w:cs="Times New Roman"/>
          <w:color w:val="555555"/>
          <w:sz w:val="27"/>
          <w:szCs w:val="27"/>
          <w:lang w:bidi="hi-IN"/>
        </w:rPr>
      </w:pPr>
      <w:r w:rsidRPr="00391D75">
        <w:rPr>
          <w:rFonts w:ascii="Georgia" w:eastAsia="Times New Roman" w:hAnsi="Georgia" w:cs="Times New Roman"/>
          <w:color w:val="555555"/>
          <w:sz w:val="27"/>
          <w:szCs w:val="27"/>
          <w:lang w:bidi="hi-IN"/>
        </w:rPr>
        <w:lastRenderedPageBreak/>
        <w:t>Earning-per-Share — Under IFRS, the earning-per-share calculation does not average the individual interim period calculations, whereas under GAAP the computation averages the individual interim period incremental shares.</w:t>
      </w:r>
    </w:p>
    <w:p w:rsidR="00391D75" w:rsidRPr="00391D75" w:rsidRDefault="00784112" w:rsidP="002F73C3">
      <w:pPr>
        <w:numPr>
          <w:ilvl w:val="0"/>
          <w:numId w:val="2"/>
        </w:numPr>
        <w:shd w:val="clear" w:color="auto" w:fill="FFFFFF"/>
        <w:spacing w:after="0" w:line="480" w:lineRule="auto"/>
        <w:ind w:left="0"/>
        <w:textAlignment w:val="baseline"/>
        <w:rPr>
          <w:rFonts w:ascii="Georgia" w:eastAsia="Times New Roman" w:hAnsi="Georgia" w:cs="Times New Roman"/>
          <w:color w:val="555555"/>
          <w:sz w:val="27"/>
          <w:szCs w:val="27"/>
          <w:lang w:bidi="hi-IN"/>
        </w:rPr>
      </w:pPr>
      <w:hyperlink r:id="rId15" w:history="1">
        <w:r w:rsidR="00391D75" w:rsidRPr="00391D75">
          <w:rPr>
            <w:rFonts w:ascii="inherit" w:eastAsia="Times New Roman" w:hAnsi="inherit" w:cs="Times New Roman"/>
            <w:color w:val="262626"/>
            <w:sz w:val="27"/>
            <w:lang w:bidi="hi-IN"/>
          </w:rPr>
          <w:t>Development</w:t>
        </w:r>
      </w:hyperlink>
      <w:r w:rsidR="00391D75" w:rsidRPr="00391D75">
        <w:rPr>
          <w:rFonts w:ascii="Georgia" w:eastAsia="Times New Roman" w:hAnsi="Georgia" w:cs="Times New Roman"/>
          <w:color w:val="555555"/>
          <w:sz w:val="27"/>
          <w:lang w:bidi="hi-IN"/>
        </w:rPr>
        <w:t> </w:t>
      </w:r>
      <w:r w:rsidR="00391D75" w:rsidRPr="00391D75">
        <w:rPr>
          <w:rFonts w:ascii="Georgia" w:eastAsia="Times New Roman" w:hAnsi="Georgia" w:cs="Times New Roman"/>
          <w:color w:val="555555"/>
          <w:sz w:val="27"/>
          <w:szCs w:val="27"/>
          <w:lang w:bidi="hi-IN"/>
        </w:rPr>
        <w:t xml:space="preserve">costs — </w:t>
      </w:r>
      <w:proofErr w:type="gramStart"/>
      <w:r w:rsidR="00391D75" w:rsidRPr="00391D75">
        <w:rPr>
          <w:rFonts w:ascii="Georgia" w:eastAsia="Times New Roman" w:hAnsi="Georgia" w:cs="Times New Roman"/>
          <w:color w:val="555555"/>
          <w:sz w:val="27"/>
          <w:szCs w:val="27"/>
          <w:lang w:bidi="hi-IN"/>
        </w:rPr>
        <w:t>These</w:t>
      </w:r>
      <w:proofErr w:type="gramEnd"/>
      <w:r w:rsidR="00391D75" w:rsidRPr="00391D75">
        <w:rPr>
          <w:rFonts w:ascii="Georgia" w:eastAsia="Times New Roman" w:hAnsi="Georgia" w:cs="Times New Roman"/>
          <w:color w:val="555555"/>
          <w:sz w:val="27"/>
          <w:szCs w:val="27"/>
          <w:lang w:bidi="hi-IN"/>
        </w:rPr>
        <w:t xml:space="preserve"> costs can be</w:t>
      </w:r>
      <w:r w:rsidR="00391D75" w:rsidRPr="00391D75">
        <w:rPr>
          <w:rFonts w:ascii="Georgia" w:eastAsia="Times New Roman" w:hAnsi="Georgia" w:cs="Times New Roman"/>
          <w:color w:val="555555"/>
          <w:sz w:val="27"/>
          <w:lang w:bidi="hi-IN"/>
        </w:rPr>
        <w:t> </w:t>
      </w:r>
      <w:hyperlink r:id="rId16" w:history="1">
        <w:r w:rsidR="00391D75" w:rsidRPr="00391D75">
          <w:rPr>
            <w:rFonts w:ascii="inherit" w:eastAsia="Times New Roman" w:hAnsi="inherit" w:cs="Times New Roman"/>
            <w:color w:val="262626"/>
            <w:sz w:val="27"/>
            <w:lang w:bidi="hi-IN"/>
          </w:rPr>
          <w:t>capitalized</w:t>
        </w:r>
      </w:hyperlink>
      <w:r w:rsidR="00391D75" w:rsidRPr="00391D75">
        <w:rPr>
          <w:rFonts w:ascii="Georgia" w:eastAsia="Times New Roman" w:hAnsi="Georgia" w:cs="Times New Roman"/>
          <w:color w:val="555555"/>
          <w:sz w:val="27"/>
          <w:lang w:bidi="hi-IN"/>
        </w:rPr>
        <w:t> </w:t>
      </w:r>
      <w:r w:rsidR="00391D75" w:rsidRPr="00391D75">
        <w:rPr>
          <w:rFonts w:ascii="Georgia" w:eastAsia="Times New Roman" w:hAnsi="Georgia" w:cs="Times New Roman"/>
          <w:color w:val="555555"/>
          <w:sz w:val="27"/>
          <w:szCs w:val="27"/>
          <w:lang w:bidi="hi-IN"/>
        </w:rPr>
        <w:t>under IFRS if certain criteria are met, while it is considered as "expenses" under U.S. GAAP.</w:t>
      </w:r>
    </w:p>
    <w:p w:rsidR="00391D75" w:rsidRPr="00391D75" w:rsidRDefault="00391D75" w:rsidP="00391D75">
      <w:pPr>
        <w:shd w:val="clear" w:color="auto" w:fill="FFFFFF"/>
        <w:spacing w:after="120" w:line="240" w:lineRule="auto"/>
        <w:textAlignment w:val="baseline"/>
        <w:outlineLvl w:val="1"/>
        <w:rPr>
          <w:rFonts w:ascii="Helvetica" w:eastAsia="Times New Roman" w:hAnsi="Helvetica" w:cs="Times New Roman"/>
          <w:color w:val="333333"/>
          <w:sz w:val="48"/>
          <w:szCs w:val="48"/>
          <w:lang w:bidi="hi-IN"/>
        </w:rPr>
      </w:pPr>
      <w:r w:rsidRPr="00391D75">
        <w:rPr>
          <w:rFonts w:ascii="Helvetica" w:eastAsia="Times New Roman" w:hAnsi="Helvetica" w:cs="Times New Roman"/>
          <w:color w:val="333333"/>
          <w:sz w:val="48"/>
          <w:szCs w:val="48"/>
          <w:lang w:bidi="hi-IN"/>
        </w:rPr>
        <w:t>Convergence</w:t>
      </w:r>
    </w:p>
    <w:p w:rsidR="00391D75" w:rsidRPr="00391D75" w:rsidRDefault="00391D75" w:rsidP="00391D75">
      <w:pPr>
        <w:shd w:val="clear" w:color="auto" w:fill="FFFFFF"/>
        <w:spacing w:before="240" w:after="240" w:line="480" w:lineRule="auto"/>
        <w:textAlignment w:val="baseline"/>
        <w:rPr>
          <w:rFonts w:ascii="Georgia" w:eastAsia="Times New Roman" w:hAnsi="Georgia" w:cs="Times New Roman"/>
          <w:color w:val="555555"/>
          <w:sz w:val="27"/>
          <w:szCs w:val="27"/>
          <w:lang w:bidi="hi-IN"/>
        </w:rPr>
      </w:pPr>
      <w:r w:rsidRPr="00391D75">
        <w:rPr>
          <w:rFonts w:ascii="Georgia" w:eastAsia="Times New Roman" w:hAnsi="Georgia" w:cs="Times New Roman"/>
          <w:color w:val="555555"/>
          <w:sz w:val="27"/>
          <w:szCs w:val="27"/>
          <w:lang w:bidi="hi-IN"/>
        </w:rPr>
        <w:t xml:space="preserve">The convergence of accounting standards refers to the goal of establishing a single set of accounting standards that will be used </w:t>
      </w:r>
      <w:proofErr w:type="gramStart"/>
      <w:r w:rsidRPr="00391D75">
        <w:rPr>
          <w:rFonts w:ascii="Georgia" w:eastAsia="Times New Roman" w:hAnsi="Georgia" w:cs="Times New Roman"/>
          <w:color w:val="555555"/>
          <w:sz w:val="27"/>
          <w:szCs w:val="27"/>
          <w:lang w:bidi="hi-IN"/>
        </w:rPr>
        <w:t>internationally,</w:t>
      </w:r>
      <w:proofErr w:type="gramEnd"/>
      <w:r w:rsidRPr="00391D75">
        <w:rPr>
          <w:rFonts w:ascii="Georgia" w:eastAsia="Times New Roman" w:hAnsi="Georgia" w:cs="Times New Roman"/>
          <w:color w:val="555555"/>
          <w:sz w:val="27"/>
          <w:szCs w:val="27"/>
          <w:lang w:bidi="hi-IN"/>
        </w:rPr>
        <w:t xml:space="preserve"> and in particular the effort to reduce the differences between the US Generally Accepted Accounting Principles (US GAAP), and the International Financial Reporting Standards (IFRS). Convergence in some form has been taking place for several decades, and efforts today include projects that aim to reduce the differences between accounting standards.</w:t>
      </w:r>
    </w:p>
    <w:p w:rsidR="00391D75" w:rsidRPr="00391D75" w:rsidRDefault="00391D75" w:rsidP="00391D75">
      <w:pPr>
        <w:shd w:val="clear" w:color="auto" w:fill="FFFFFF"/>
        <w:spacing w:before="240" w:after="240" w:line="480" w:lineRule="auto"/>
        <w:textAlignment w:val="baseline"/>
        <w:rPr>
          <w:rFonts w:ascii="Georgia" w:eastAsia="Times New Roman" w:hAnsi="Georgia" w:cs="Times New Roman"/>
          <w:color w:val="555555"/>
          <w:sz w:val="27"/>
          <w:szCs w:val="27"/>
          <w:lang w:bidi="hi-IN"/>
        </w:rPr>
      </w:pPr>
      <w:r w:rsidRPr="00391D75">
        <w:rPr>
          <w:rFonts w:ascii="Georgia" w:eastAsia="Times New Roman" w:hAnsi="Georgia" w:cs="Times New Roman"/>
          <w:color w:val="555555"/>
          <w:sz w:val="27"/>
          <w:szCs w:val="27"/>
          <w:lang w:bidi="hi-IN"/>
        </w:rPr>
        <w:t>The goal of and various proposed steps to achieve convergence of accounting standards has been criticized by various individuals and organizations. For example, in 2006 senior partners at PricewaterhouseCoopers (PwC) called for convergence to be "shelved indefinitely" in a draft paper, calling for the IASB to focus instead on improving its own set of standards.</w:t>
      </w:r>
    </w:p>
    <w:p w:rsidR="00391D75" w:rsidRPr="00391D75" w:rsidRDefault="00391D75" w:rsidP="00391D75">
      <w:pPr>
        <w:shd w:val="clear" w:color="auto" w:fill="FFFFFF"/>
        <w:spacing w:before="240" w:after="240" w:line="480" w:lineRule="auto"/>
        <w:textAlignment w:val="baseline"/>
        <w:rPr>
          <w:rFonts w:ascii="Georgia" w:eastAsia="Times New Roman" w:hAnsi="Georgia" w:cs="Times New Roman"/>
          <w:color w:val="555555"/>
          <w:sz w:val="27"/>
          <w:szCs w:val="27"/>
          <w:lang w:bidi="hi-IN"/>
        </w:rPr>
      </w:pPr>
      <w:r w:rsidRPr="00391D75">
        <w:rPr>
          <w:rFonts w:ascii="Georgia" w:eastAsia="Times New Roman" w:hAnsi="Georgia" w:cs="Times New Roman"/>
          <w:color w:val="555555"/>
          <w:sz w:val="27"/>
          <w:szCs w:val="27"/>
          <w:lang w:bidi="hi-IN"/>
        </w:rPr>
        <w:t xml:space="preserve">Convergence is also taking place in other countries, with "all major economies" planning to either adopt the IFRS or converge towards it, "in the </w:t>
      </w:r>
      <w:r w:rsidRPr="00391D75">
        <w:rPr>
          <w:rFonts w:ascii="Georgia" w:eastAsia="Times New Roman" w:hAnsi="Georgia" w:cs="Times New Roman"/>
          <w:color w:val="555555"/>
          <w:sz w:val="27"/>
          <w:szCs w:val="27"/>
          <w:lang w:bidi="hi-IN"/>
        </w:rPr>
        <w:lastRenderedPageBreak/>
        <w:t>near future</w:t>
      </w:r>
      <w:proofErr w:type="gramStart"/>
      <w:r w:rsidRPr="00391D75">
        <w:rPr>
          <w:rFonts w:ascii="Georgia" w:eastAsia="Times New Roman" w:hAnsi="Georgia" w:cs="Times New Roman"/>
          <w:color w:val="555555"/>
          <w:sz w:val="27"/>
          <w:szCs w:val="27"/>
          <w:lang w:bidi="hi-IN"/>
        </w:rPr>
        <w:t>. "</w:t>
      </w:r>
      <w:proofErr w:type="gramEnd"/>
      <w:r w:rsidRPr="00391D75">
        <w:rPr>
          <w:rFonts w:ascii="Georgia" w:eastAsia="Times New Roman" w:hAnsi="Georgia" w:cs="Times New Roman"/>
          <w:color w:val="555555"/>
          <w:sz w:val="27"/>
          <w:szCs w:val="27"/>
          <w:lang w:bidi="hi-IN"/>
        </w:rPr>
        <w:t xml:space="preserve"> For example, Canada required all listed entities to use the IFRS from January 1, 2012, and Japan permitted the use of IFRS for certain multinational companies from 2010, and is expected to make a decision on mandatory adoption in "around 2012</w:t>
      </w:r>
      <w:proofErr w:type="gramStart"/>
      <w:r w:rsidRPr="00391D75">
        <w:rPr>
          <w:rFonts w:ascii="Georgia" w:eastAsia="Times New Roman" w:hAnsi="Georgia" w:cs="Times New Roman"/>
          <w:color w:val="555555"/>
          <w:sz w:val="27"/>
          <w:szCs w:val="27"/>
          <w:lang w:bidi="hi-IN"/>
        </w:rPr>
        <w:t>. "</w:t>
      </w:r>
      <w:proofErr w:type="gramEnd"/>
    </w:p>
    <w:p w:rsidR="00391D75" w:rsidRDefault="00391D75"/>
    <w:sectPr w:rsidR="00391D75"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9A2CDA"/>
    <w:multiLevelType w:val="multilevel"/>
    <w:tmpl w:val="077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697C0C"/>
    <w:multiLevelType w:val="hybridMultilevel"/>
    <w:tmpl w:val="43D2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91D75"/>
    <w:rsid w:val="000035F5"/>
    <w:rsid w:val="002F73C3"/>
    <w:rsid w:val="00391D75"/>
    <w:rsid w:val="00784112"/>
    <w:rsid w:val="007D0725"/>
    <w:rsid w:val="00836701"/>
    <w:rsid w:val="00854860"/>
    <w:rsid w:val="00947BBB"/>
    <w:rsid w:val="009C7FB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391D75"/>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391D75"/>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391D7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391D75"/>
    <w:rPr>
      <w:i/>
      <w:iCs/>
    </w:rPr>
  </w:style>
  <w:style w:type="character" w:customStyle="1" w:styleId="apple-converted-space">
    <w:name w:val="apple-converted-space"/>
    <w:basedOn w:val="DefaultParagraphFont"/>
    <w:rsid w:val="00391D75"/>
  </w:style>
  <w:style w:type="character" w:styleId="Hyperlink">
    <w:name w:val="Hyperlink"/>
    <w:basedOn w:val="DefaultParagraphFont"/>
    <w:uiPriority w:val="99"/>
    <w:semiHidden/>
    <w:unhideWhenUsed/>
    <w:rsid w:val="00391D75"/>
    <w:rPr>
      <w:color w:val="0000FF"/>
      <w:u w:val="single"/>
    </w:rPr>
  </w:style>
</w:styles>
</file>

<file path=word/webSettings.xml><?xml version="1.0" encoding="utf-8"?>
<w:webSettings xmlns:r="http://schemas.openxmlformats.org/officeDocument/2006/relationships" xmlns:w="http://schemas.openxmlformats.org/wordprocessingml/2006/main">
  <w:divs>
    <w:div w:id="3431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ndless.com/accounting/definition/income/" TargetMode="External"/><Relationship Id="rId13" Type="http://schemas.openxmlformats.org/officeDocument/2006/relationships/hyperlink" Target="https://www.boundless.com/accounting/definition/lif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oundless.com/accounting/definition/entity/" TargetMode="External"/><Relationship Id="rId12" Type="http://schemas.openxmlformats.org/officeDocument/2006/relationships/hyperlink" Target="https://www.boundless.com/accounting/definition/invent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oundless.com/accounting/definition/capitalized/" TargetMode="External"/><Relationship Id="rId1" Type="http://schemas.openxmlformats.org/officeDocument/2006/relationships/customXml" Target="../customXml/item1.xml"/><Relationship Id="rId6" Type="http://schemas.openxmlformats.org/officeDocument/2006/relationships/hyperlink" Target="https://www.boundless.com/accounting/definition/control/" TargetMode="External"/><Relationship Id="rId11" Type="http://schemas.openxmlformats.org/officeDocument/2006/relationships/hyperlink" Target="https://www.boundless.com/accounting/definition/net-income/" TargetMode="External"/><Relationship Id="rId5" Type="http://schemas.openxmlformats.org/officeDocument/2006/relationships/webSettings" Target="webSettings.xml"/><Relationship Id="rId15" Type="http://schemas.openxmlformats.org/officeDocument/2006/relationships/hyperlink" Target="https://www.boundless.com/accounting/definition/development/" TargetMode="External"/><Relationship Id="rId10" Type="http://schemas.openxmlformats.org/officeDocument/2006/relationships/hyperlink" Target="https://www.boundless.com/accounting/definition/income-statement/" TargetMode="External"/><Relationship Id="rId4" Type="http://schemas.openxmlformats.org/officeDocument/2006/relationships/settings" Target="settings.xml"/><Relationship Id="rId9" Type="http://schemas.openxmlformats.org/officeDocument/2006/relationships/hyperlink" Target="https://www.boundless.com/accounting/definition/extraordinary/" TargetMode="External"/><Relationship Id="rId14" Type="http://schemas.openxmlformats.org/officeDocument/2006/relationships/hyperlink" Target="https://www.boundless.com/accounting/definition/fi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CC5D-D13D-42EC-AD92-9407B442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4</cp:revision>
  <dcterms:created xsi:type="dcterms:W3CDTF">2017-09-07T04:44:00Z</dcterms:created>
  <dcterms:modified xsi:type="dcterms:W3CDTF">2017-10-05T04:31:00Z</dcterms:modified>
</cp:coreProperties>
</file>