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1793" w14:textId="0D1AC0D4" w:rsidR="003B5E39" w:rsidRPr="003B5E39" w:rsidRDefault="003A4F1A" w:rsidP="003B5E39">
      <w:pPr>
        <w:jc w:val="both"/>
        <w:rPr>
          <w:rFonts w:ascii="Times New Roman" w:hAnsi="Times New Roman" w:cs="Times New Roman"/>
          <w:b/>
          <w:bCs/>
          <w:sz w:val="28"/>
          <w:szCs w:val="28"/>
        </w:rPr>
      </w:pPr>
      <w:r w:rsidRPr="003A4F1A">
        <w:rPr>
          <w:rFonts w:ascii="Times New Roman" w:hAnsi="Times New Roman" w:cs="Times New Roman"/>
          <w:b/>
          <w:bCs/>
          <w:sz w:val="28"/>
          <w:szCs w:val="28"/>
        </w:rPr>
        <w:t>Constant Relative Risk Aversion</w:t>
      </w:r>
      <w:r w:rsidR="003B5E39">
        <w:rPr>
          <w:rFonts w:ascii="Times New Roman" w:hAnsi="Times New Roman" w:cs="Times New Roman"/>
          <w:b/>
          <w:bCs/>
          <w:sz w:val="28"/>
          <w:szCs w:val="28"/>
        </w:rPr>
        <w:t xml:space="preserve"> (CRRA) &amp;</w:t>
      </w:r>
      <w:r w:rsidR="003B5E39" w:rsidRPr="003B5E39">
        <w:rPr>
          <w:rFonts w:ascii="Times New Roman" w:hAnsi="Times New Roman" w:cs="Times New Roman"/>
          <w:b/>
          <w:bCs/>
          <w:sz w:val="28"/>
          <w:szCs w:val="28"/>
        </w:rPr>
        <w:t xml:space="preserve"> </w:t>
      </w:r>
      <w:r w:rsidR="003B5E39" w:rsidRPr="003B5E39">
        <w:rPr>
          <w:rFonts w:ascii="Times New Roman" w:hAnsi="Times New Roman" w:cs="Times New Roman"/>
          <w:b/>
          <w:bCs/>
          <w:sz w:val="28"/>
          <w:szCs w:val="28"/>
        </w:rPr>
        <w:t>Behavioral clients</w:t>
      </w:r>
    </w:p>
    <w:p w14:paraId="7E9A4B7D" w14:textId="7E7611CF" w:rsidR="004F7309"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Constant Relative Risk Aversion (CRRA) is an economic concept used to describe investors' and consumers' preferences for risk. CRRA investors have a consistent level of risk aversion regardless of their wealth or the size of the decision they are making. This concept is often used in financial economics and decision theory to model how individuals make choices when faced with uncertainty.</w:t>
      </w:r>
      <w:r>
        <w:rPr>
          <w:rFonts w:ascii="Times New Roman" w:hAnsi="Times New Roman" w:cs="Times New Roman"/>
          <w:sz w:val="28"/>
          <w:szCs w:val="28"/>
        </w:rPr>
        <w:t xml:space="preserve"> Th</w:t>
      </w:r>
      <w:r w:rsidRPr="00743C34">
        <w:rPr>
          <w:rFonts w:ascii="Times New Roman" w:hAnsi="Times New Roman" w:cs="Times New Roman"/>
          <w:sz w:val="28"/>
          <w:szCs w:val="28"/>
        </w:rPr>
        <w:t>ere are some key points about CRRA investors:</w:t>
      </w:r>
    </w:p>
    <w:p w14:paraId="1069C608" w14:textId="77777777" w:rsidR="00743C34" w:rsidRPr="00403037" w:rsidRDefault="00743C34" w:rsidP="00743C34">
      <w:pPr>
        <w:jc w:val="both"/>
        <w:rPr>
          <w:rFonts w:ascii="Times New Roman" w:hAnsi="Times New Roman" w:cs="Times New Roman"/>
          <w:b/>
          <w:bCs/>
          <w:sz w:val="28"/>
          <w:szCs w:val="28"/>
        </w:rPr>
      </w:pPr>
      <w:r w:rsidRPr="00403037">
        <w:rPr>
          <w:rFonts w:ascii="Times New Roman" w:hAnsi="Times New Roman" w:cs="Times New Roman"/>
          <w:b/>
          <w:bCs/>
          <w:sz w:val="28"/>
          <w:szCs w:val="28"/>
        </w:rPr>
        <w:t>Risk Aversion</w:t>
      </w:r>
    </w:p>
    <w:p w14:paraId="3377921B" w14:textId="44DEDF06"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CRRA investors exhibit risk-averse behavior, meaning they prefer a less risky option over a riskier one when presented with choices that offer the same expected return. They are willing to sacrifice potential gains to reduce risk.</w:t>
      </w:r>
    </w:p>
    <w:p w14:paraId="1C2A9741" w14:textId="77777777" w:rsidR="00743C34" w:rsidRPr="00403037" w:rsidRDefault="00743C34" w:rsidP="00743C34">
      <w:pPr>
        <w:jc w:val="both"/>
        <w:rPr>
          <w:rFonts w:ascii="Times New Roman" w:hAnsi="Times New Roman" w:cs="Times New Roman"/>
          <w:b/>
          <w:bCs/>
          <w:sz w:val="28"/>
          <w:szCs w:val="28"/>
        </w:rPr>
      </w:pPr>
      <w:r w:rsidRPr="00403037">
        <w:rPr>
          <w:rFonts w:ascii="Times New Roman" w:hAnsi="Times New Roman" w:cs="Times New Roman"/>
          <w:b/>
          <w:bCs/>
          <w:sz w:val="28"/>
          <w:szCs w:val="28"/>
        </w:rPr>
        <w:t>Constant Relative Risk Aversion</w:t>
      </w:r>
    </w:p>
    <w:p w14:paraId="0ED0320B" w14:textId="28F96830"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The term "constant relative risk aversion" implies that the degree of risk aversion remains consistent across different levels of wealth or decision scales. In other words, the investor's willingness to take risks doesn't change as their wealth or investment size changes.</w:t>
      </w:r>
    </w:p>
    <w:p w14:paraId="4D7440DA" w14:textId="77777777" w:rsidR="00743C34" w:rsidRPr="00403037" w:rsidRDefault="00743C34" w:rsidP="00743C34">
      <w:pPr>
        <w:jc w:val="both"/>
        <w:rPr>
          <w:rFonts w:ascii="Times New Roman" w:hAnsi="Times New Roman" w:cs="Times New Roman"/>
          <w:b/>
          <w:bCs/>
          <w:sz w:val="28"/>
          <w:szCs w:val="28"/>
        </w:rPr>
      </w:pPr>
      <w:r w:rsidRPr="00403037">
        <w:rPr>
          <w:rFonts w:ascii="Times New Roman" w:hAnsi="Times New Roman" w:cs="Times New Roman"/>
          <w:b/>
          <w:bCs/>
          <w:sz w:val="28"/>
          <w:szCs w:val="28"/>
        </w:rPr>
        <w:t>Utility Function</w:t>
      </w:r>
    </w:p>
    <w:p w14:paraId="33FDF55D" w14:textId="7FE8C482"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CRRA is often described using a utility function, where the utility an individual derives from a particular wealth level depends on their level of risk aversion. A commonly used utility function for CRRA investors is the following:</w:t>
      </w:r>
    </w:p>
    <w:p w14:paraId="086F5423" w14:textId="1FC79CD9"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U(W) = (1 - η)^(-1) * (W^(1-η) - 1) / (1-η)</w:t>
      </w:r>
    </w:p>
    <w:p w14:paraId="31FB7FDC" w14:textId="77777777"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U(W) represents the utility of wealth W.</w:t>
      </w:r>
    </w:p>
    <w:p w14:paraId="1864D6CB" w14:textId="77777777"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η is the coefficient of relative risk aversion, a constant that reflects the investor's risk aversion level.</w:t>
      </w:r>
    </w:p>
    <w:p w14:paraId="7C650C5B" w14:textId="77777777" w:rsidR="00743C34" w:rsidRPr="00403037" w:rsidRDefault="00743C34" w:rsidP="00743C34">
      <w:pPr>
        <w:jc w:val="both"/>
        <w:rPr>
          <w:rFonts w:ascii="Times New Roman" w:hAnsi="Times New Roman" w:cs="Times New Roman"/>
          <w:b/>
          <w:bCs/>
          <w:sz w:val="28"/>
          <w:szCs w:val="28"/>
        </w:rPr>
      </w:pPr>
      <w:r w:rsidRPr="00403037">
        <w:rPr>
          <w:rFonts w:ascii="Times New Roman" w:hAnsi="Times New Roman" w:cs="Times New Roman"/>
          <w:b/>
          <w:bCs/>
          <w:sz w:val="28"/>
          <w:szCs w:val="28"/>
        </w:rPr>
        <w:t>Coefficient of Relative Risk Aversion (η)</w:t>
      </w:r>
    </w:p>
    <w:p w14:paraId="24443CB7" w14:textId="762B7644"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The η parameter in the utility function is crucial for understanding an investor's risk aversion. A higher η value indicates greater risk aversion, while a lower η suggests a lesser aversion to risk. When η is equal to 1, it represents constant relative risk aversion. A η value less than 1 represents decreasing relative risk aversion, and a value greater than 1 represents increasing relative risk aversion.</w:t>
      </w:r>
    </w:p>
    <w:p w14:paraId="790AF1A6" w14:textId="77777777" w:rsidR="00743C34" w:rsidRPr="00403037" w:rsidRDefault="00743C34" w:rsidP="00743C34">
      <w:pPr>
        <w:jc w:val="both"/>
        <w:rPr>
          <w:rFonts w:ascii="Times New Roman" w:hAnsi="Times New Roman" w:cs="Times New Roman"/>
          <w:b/>
          <w:bCs/>
          <w:sz w:val="28"/>
          <w:szCs w:val="28"/>
        </w:rPr>
      </w:pPr>
      <w:r w:rsidRPr="00403037">
        <w:rPr>
          <w:rFonts w:ascii="Times New Roman" w:hAnsi="Times New Roman" w:cs="Times New Roman"/>
          <w:b/>
          <w:bCs/>
          <w:sz w:val="28"/>
          <w:szCs w:val="28"/>
        </w:rPr>
        <w:t>Investment Decisions</w:t>
      </w:r>
    </w:p>
    <w:p w14:paraId="0FCCF32C" w14:textId="33E5668A"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For CRRA investors, the utility function helps in making investment decisions by maximizing expected utility. They seek a balance between risk and return, where their risk aversion guides the choices they make. In general, they prefer portfolios or investments with lower volatility and higher expected returns.</w:t>
      </w:r>
    </w:p>
    <w:p w14:paraId="0D1C7DED" w14:textId="77777777" w:rsidR="00743C34" w:rsidRPr="00403037" w:rsidRDefault="00743C34" w:rsidP="00743C34">
      <w:pPr>
        <w:jc w:val="both"/>
        <w:rPr>
          <w:rFonts w:ascii="Times New Roman" w:hAnsi="Times New Roman" w:cs="Times New Roman"/>
          <w:b/>
          <w:bCs/>
          <w:sz w:val="28"/>
          <w:szCs w:val="28"/>
        </w:rPr>
      </w:pPr>
      <w:r w:rsidRPr="00403037">
        <w:rPr>
          <w:rFonts w:ascii="Times New Roman" w:hAnsi="Times New Roman" w:cs="Times New Roman"/>
          <w:b/>
          <w:bCs/>
          <w:sz w:val="28"/>
          <w:szCs w:val="28"/>
        </w:rPr>
        <w:t>Application in Finance</w:t>
      </w:r>
    </w:p>
    <w:p w14:paraId="54BC71B5" w14:textId="1917A718"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lastRenderedPageBreak/>
        <w:t>CRRA is commonly used in financial economics and portfolio theory to model investor behavior. It helps in understanding how investors weigh risks and returns when constructing portfolios, making asset allocation decisions, or choosing between investment options.</w:t>
      </w:r>
    </w:p>
    <w:p w14:paraId="02C2BCD1" w14:textId="77777777" w:rsidR="00743C34" w:rsidRPr="00403037" w:rsidRDefault="00743C34" w:rsidP="00743C34">
      <w:pPr>
        <w:jc w:val="both"/>
        <w:rPr>
          <w:rFonts w:ascii="Times New Roman" w:hAnsi="Times New Roman" w:cs="Times New Roman"/>
          <w:b/>
          <w:bCs/>
          <w:sz w:val="28"/>
          <w:szCs w:val="28"/>
        </w:rPr>
      </w:pPr>
      <w:r w:rsidRPr="00403037">
        <w:rPr>
          <w:rFonts w:ascii="Times New Roman" w:hAnsi="Times New Roman" w:cs="Times New Roman"/>
          <w:b/>
          <w:bCs/>
          <w:sz w:val="28"/>
          <w:szCs w:val="28"/>
        </w:rPr>
        <w:t>Limitations</w:t>
      </w:r>
    </w:p>
    <w:p w14:paraId="60176ED6" w14:textId="03D24DF5" w:rsidR="00743C34" w:rsidRPr="00743C34" w:rsidRDefault="00743C34" w:rsidP="00743C34">
      <w:pPr>
        <w:jc w:val="both"/>
        <w:rPr>
          <w:rFonts w:ascii="Times New Roman" w:hAnsi="Times New Roman" w:cs="Times New Roman"/>
          <w:sz w:val="28"/>
          <w:szCs w:val="28"/>
        </w:rPr>
      </w:pPr>
      <w:r w:rsidRPr="00743C34">
        <w:rPr>
          <w:rFonts w:ascii="Times New Roman" w:hAnsi="Times New Roman" w:cs="Times New Roman"/>
          <w:sz w:val="28"/>
          <w:szCs w:val="28"/>
        </w:rPr>
        <w:t>While CRRA provides insights into investor behavior, it is a simplified model that assumes constant risk aversion. In reality, investors' risk preferences may change over time or under different circumstances. Behavioral economics suggests that emotions, market conditions, and individual experiences can influence an investor's risk aversion.</w:t>
      </w:r>
    </w:p>
    <w:p w14:paraId="5FD8BB8E" w14:textId="55E8E993" w:rsidR="003B5E39" w:rsidRDefault="00743C34" w:rsidP="003B5E39">
      <w:pPr>
        <w:jc w:val="both"/>
        <w:rPr>
          <w:rFonts w:ascii="Times New Roman" w:hAnsi="Times New Roman" w:cs="Times New Roman"/>
          <w:sz w:val="28"/>
          <w:szCs w:val="28"/>
        </w:rPr>
      </w:pPr>
      <w:r w:rsidRPr="00743C34">
        <w:rPr>
          <w:rFonts w:ascii="Times New Roman" w:hAnsi="Times New Roman" w:cs="Times New Roman"/>
          <w:sz w:val="28"/>
          <w:szCs w:val="28"/>
        </w:rPr>
        <w:t>CRRA investors are a theoretical construct used to simplify and analyze investor behavior within a mathematical framework. In practice, individual investors may exhibit varying degrees of risk aversion and may not conform precisely to the CRRA model. Nonetheless, CRRA is a valuable tool for understanding the fundamental trade-offs between risk and return that underlie investment decisions.</w:t>
      </w:r>
    </w:p>
    <w:p w14:paraId="547FB646" w14:textId="4C32ECA5" w:rsidR="003B5E39" w:rsidRPr="003B5E39" w:rsidRDefault="003B5E39"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Behavioral clients</w:t>
      </w:r>
    </w:p>
    <w:p w14:paraId="089A6E20" w14:textId="18A030E0" w:rsid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clients" typically refers to clients in the financial services industry, such as financial advisors, wealth managers, or investment professionals, who exhibit behavioral biases or traits that influence their investment decisions and financial behavior. These clients may not always make rational, objective, or systematic investment choices due to various cognitive and emotional factors. Understanding the behavioral biases and tendencies of such clients is essential for financial professionals to provide appropriate advice and guidance.</w:t>
      </w:r>
    </w:p>
    <w:p w14:paraId="17D8734C"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Emotional Decision-Making</w:t>
      </w:r>
    </w:p>
    <w:p w14:paraId="4CAD1CE6" w14:textId="65CBE08E"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clients are prone to making investment decisions based on emotions like fear, greed, or overconfidence. They may buy or sell assets impulsively in response to market fluctuations.</w:t>
      </w:r>
    </w:p>
    <w:p w14:paraId="7A9B3BD5"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Loss Aversion</w:t>
      </w:r>
    </w:p>
    <w:p w14:paraId="66372561" w14:textId="30535749"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These clients tend to be more sensitive to losses than gains. They may be reluctant to sell losing investments, hoping for a rebound, which can lead to holding onto underperforming assets for too long.</w:t>
      </w:r>
    </w:p>
    <w:p w14:paraId="129A8150"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Herd Mentality</w:t>
      </w:r>
    </w:p>
    <w:p w14:paraId="1B0C2A01" w14:textId="4C5F946E"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clients may follow the crowd and make investment choices based on what others are doing. They may buy into market bubbles and sell during panics.</w:t>
      </w:r>
    </w:p>
    <w:p w14:paraId="3456C84F"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Confirmation Bias</w:t>
      </w:r>
    </w:p>
    <w:p w14:paraId="3CB4286D" w14:textId="4AC9A1F3"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They may seek information that confirms their existing beliefs or investment choices, ignoring or dismissing data that contradicts their views.</w:t>
      </w:r>
    </w:p>
    <w:p w14:paraId="667FC30C" w14:textId="77777777" w:rsidR="00FB005A" w:rsidRPr="00FB005A" w:rsidRDefault="00FB005A" w:rsidP="00FB005A">
      <w:pPr>
        <w:jc w:val="both"/>
        <w:rPr>
          <w:rFonts w:ascii="Times New Roman" w:hAnsi="Times New Roman" w:cs="Times New Roman"/>
          <w:sz w:val="28"/>
          <w:szCs w:val="28"/>
        </w:rPr>
      </w:pPr>
    </w:p>
    <w:p w14:paraId="41EBDBFD"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lastRenderedPageBreak/>
        <w:t>Mental Accounting</w:t>
      </w:r>
    </w:p>
    <w:p w14:paraId="6BBB60DD" w14:textId="10634B42"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clients may mentally segregate their investments into separate accounts with different risk profiles or objectives, leading to suboptimal asset allocation decisions.</w:t>
      </w:r>
    </w:p>
    <w:p w14:paraId="18E1FC8D"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Short-Term Focus</w:t>
      </w:r>
    </w:p>
    <w:p w14:paraId="5AC98767" w14:textId="30A26E1D"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These clients may have a short-term perspective, looking for immediate gratification rather than considering long-term goals and wealth preservation.</w:t>
      </w:r>
    </w:p>
    <w:p w14:paraId="0423DCE4"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Overtrading</w:t>
      </w:r>
    </w:p>
    <w:p w14:paraId="745DB403" w14:textId="6EDDB6F8"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clients may engage in excessive trading, incurring higher transaction costs and potentially reducing returns.</w:t>
      </w:r>
    </w:p>
    <w:p w14:paraId="7272CD53"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Regret Aversion</w:t>
      </w:r>
    </w:p>
    <w:p w14:paraId="43F3AA48" w14:textId="393BD919"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They may avoid decisions that could lead to later regret, even if those decisions are in their best long-term interest.</w:t>
      </w:r>
    </w:p>
    <w:p w14:paraId="3E438053"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Recency Bias</w:t>
      </w:r>
    </w:p>
    <w:p w14:paraId="089FE6E4" w14:textId="3E9ECA4B"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clients often give more weight to recent events and extrapolate recent trends into the future, leading to asset allocation choices that may not be based on fundamentals.</w:t>
      </w:r>
    </w:p>
    <w:p w14:paraId="4C82A669"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Anchoring</w:t>
      </w:r>
    </w:p>
    <w:p w14:paraId="5DF96C29" w14:textId="4B36F2AB"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They may fixate on specific price levels or historical performance as reference points, making it difficult for them to adapt to changing market conditions.</w:t>
      </w:r>
    </w:p>
    <w:p w14:paraId="4E83B7C1"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Decision Paralysis</w:t>
      </w:r>
    </w:p>
    <w:p w14:paraId="4546851B" w14:textId="2E2D4F0A"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clients may struggle with decision-making and exhibit a tendency to procrastinate or avoid making important financial choices.</w:t>
      </w:r>
    </w:p>
    <w:p w14:paraId="05089CFC" w14:textId="77777777" w:rsidR="00FB005A" w:rsidRPr="003B5E39" w:rsidRDefault="00FB005A" w:rsidP="00FB005A">
      <w:pPr>
        <w:jc w:val="both"/>
        <w:rPr>
          <w:rFonts w:ascii="Times New Roman" w:hAnsi="Times New Roman" w:cs="Times New Roman"/>
          <w:b/>
          <w:bCs/>
          <w:sz w:val="28"/>
          <w:szCs w:val="28"/>
        </w:rPr>
      </w:pPr>
      <w:r w:rsidRPr="003B5E39">
        <w:rPr>
          <w:rFonts w:ascii="Times New Roman" w:hAnsi="Times New Roman" w:cs="Times New Roman"/>
          <w:b/>
          <w:bCs/>
          <w:sz w:val="28"/>
          <w:szCs w:val="28"/>
        </w:rPr>
        <w:t>Cognitive Biase</w:t>
      </w:r>
      <w:r w:rsidRPr="003B5E39">
        <w:rPr>
          <w:rFonts w:ascii="Times New Roman" w:hAnsi="Times New Roman" w:cs="Times New Roman"/>
          <w:b/>
          <w:bCs/>
          <w:sz w:val="28"/>
          <w:szCs w:val="28"/>
        </w:rPr>
        <w:t>s</w:t>
      </w:r>
    </w:p>
    <w:p w14:paraId="21A2924E" w14:textId="367B34DB"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They can be influenced by cognitive biases, such as availability bias, representativeness bias, and the endowment effect, which can distort their judgment.</w:t>
      </w:r>
    </w:p>
    <w:p w14:paraId="73755931" w14:textId="2FA79013" w:rsidR="00FB005A" w:rsidRPr="00FB005A"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Financial professionals who work with behavioral clients need to be aware of these characteristics and biases and employ strategies to help their clients make more rational and objective financial decisions. This may involve educating clients about behavioral finance, setting clear investment goals, and implementing disciplined investment strategies that align with their long-term objectives.</w:t>
      </w:r>
    </w:p>
    <w:p w14:paraId="0D0BD15A" w14:textId="77EB91BA" w:rsidR="00FB005A" w:rsidRPr="00743C34" w:rsidRDefault="00FB005A" w:rsidP="00FB005A">
      <w:pPr>
        <w:jc w:val="both"/>
        <w:rPr>
          <w:rFonts w:ascii="Times New Roman" w:hAnsi="Times New Roman" w:cs="Times New Roman"/>
          <w:sz w:val="28"/>
          <w:szCs w:val="28"/>
        </w:rPr>
      </w:pPr>
      <w:r w:rsidRPr="00FB005A">
        <w:rPr>
          <w:rFonts w:ascii="Times New Roman" w:hAnsi="Times New Roman" w:cs="Times New Roman"/>
          <w:sz w:val="28"/>
          <w:szCs w:val="28"/>
        </w:rPr>
        <w:t>Behavioral finance tools and techniques, like using structured questionnaires to understand a client's risk profile or employing investment strategies designed to mitigate specific biases, can be valuable in working with these clients. Ultimately, the goal is to help clients make well-informed financial decisions that are in their best interests and aligned with their financial goals.</w:t>
      </w:r>
    </w:p>
    <w:sectPr w:rsidR="00FB005A" w:rsidRPr="00743C34" w:rsidSect="00743C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44046"/>
    <w:multiLevelType w:val="multilevel"/>
    <w:tmpl w:val="0C38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599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xN7a0NDAwMzM3NbJU0lEKTi0uzszPAykwrAUAahWAoSwAAAA="/>
  </w:docVars>
  <w:rsids>
    <w:rsidRoot w:val="004F7309"/>
    <w:rsid w:val="003A4F1A"/>
    <w:rsid w:val="003B5E39"/>
    <w:rsid w:val="00403037"/>
    <w:rsid w:val="004F7309"/>
    <w:rsid w:val="00743C34"/>
    <w:rsid w:val="00FB00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856C"/>
  <w15:chartTrackingRefBased/>
  <w15:docId w15:val="{8261A7F0-710B-490B-8D65-B491D610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E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5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089">
      <w:bodyDiv w:val="1"/>
      <w:marLeft w:val="0"/>
      <w:marRight w:val="0"/>
      <w:marTop w:val="0"/>
      <w:marBottom w:val="0"/>
      <w:divBdr>
        <w:top w:val="none" w:sz="0" w:space="0" w:color="auto"/>
        <w:left w:val="none" w:sz="0" w:space="0" w:color="auto"/>
        <w:bottom w:val="none" w:sz="0" w:space="0" w:color="auto"/>
        <w:right w:val="none" w:sz="0" w:space="0" w:color="auto"/>
      </w:divBdr>
    </w:div>
    <w:div w:id="4708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2023-11-03T08:33:00Z</dcterms:created>
  <dcterms:modified xsi:type="dcterms:W3CDTF">2023-11-03T08:49:00Z</dcterms:modified>
</cp:coreProperties>
</file>