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58DE3" w14:textId="345B4B94" w:rsidR="00B04B2E" w:rsidRPr="00B04B2E" w:rsidRDefault="00B04B2E" w:rsidP="008215FF">
      <w:pPr>
        <w:spacing w:before="100" w:beforeAutospacing="1" w:after="100" w:afterAutospacing="1" w:line="240" w:lineRule="auto"/>
        <w:jc w:val="both"/>
        <w:rPr>
          <w:rFonts w:ascii="Times New Roman" w:eastAsia="Times New Roman" w:hAnsi="Times New Roman" w:cs="Times New Roman"/>
          <w:b/>
          <w:bCs/>
          <w:kern w:val="0"/>
          <w:sz w:val="32"/>
          <w:szCs w:val="32"/>
          <w14:ligatures w14:val="none"/>
        </w:rPr>
      </w:pPr>
      <w:r w:rsidRPr="00B04B2E">
        <w:rPr>
          <w:rFonts w:ascii="Times New Roman" w:eastAsia="Times New Roman" w:hAnsi="Times New Roman" w:cs="Times New Roman"/>
          <w:b/>
          <w:bCs/>
          <w:kern w:val="0"/>
          <w:sz w:val="32"/>
          <w:szCs w:val="32"/>
          <w14:ligatures w14:val="none"/>
        </w:rPr>
        <w:t>Overview of the history of ESG investing</w:t>
      </w:r>
    </w:p>
    <w:p w14:paraId="487B38EC" w14:textId="3A7416A5" w:rsidR="00B04B2E" w:rsidRPr="00B04B2E" w:rsidRDefault="00B04B2E"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Environmental, Social, and Governance (ESG) investing</w:t>
      </w:r>
      <w:r w:rsidRPr="00B04B2E">
        <w:rPr>
          <w:rFonts w:ascii="Times New Roman" w:eastAsia="Times New Roman" w:hAnsi="Times New Roman" w:cs="Times New Roman"/>
          <w:kern w:val="0"/>
          <w:sz w:val="28"/>
          <w:szCs w:val="28"/>
          <w14:ligatures w14:val="none"/>
        </w:rPr>
        <w:t xml:space="preserve"> has evolved significantly over the decades, reflecting the changing priorities of investors, businesses, and society. Here's an overview of its history:</w:t>
      </w:r>
    </w:p>
    <w:p w14:paraId="3A43859C" w14:textId="77777777" w:rsidR="00B04B2E" w:rsidRPr="00B04B2E" w:rsidRDefault="00B04B2E" w:rsidP="008215FF">
      <w:pPr>
        <w:spacing w:before="100" w:beforeAutospacing="1" w:after="100" w:afterAutospacing="1" w:line="240" w:lineRule="auto"/>
        <w:jc w:val="both"/>
        <w:outlineLvl w:val="2"/>
        <w:rPr>
          <w:rFonts w:ascii="Times New Roman" w:eastAsia="Times New Roman" w:hAnsi="Times New Roman" w:cs="Times New Roman"/>
          <w:b/>
          <w:bCs/>
          <w:kern w:val="0"/>
          <w:sz w:val="31"/>
          <w:szCs w:val="31"/>
          <w14:ligatures w14:val="none"/>
        </w:rPr>
      </w:pPr>
      <w:r w:rsidRPr="00B04B2E">
        <w:rPr>
          <w:rFonts w:ascii="Times New Roman" w:eastAsia="Times New Roman" w:hAnsi="Times New Roman" w:cs="Times New Roman"/>
          <w:b/>
          <w:bCs/>
          <w:kern w:val="0"/>
          <w:sz w:val="31"/>
          <w:szCs w:val="31"/>
          <w14:ligatures w14:val="none"/>
        </w:rPr>
        <w:t>1. Origins: Socially Responsible Investing (SRI) (1960s-1980s)</w:t>
      </w:r>
    </w:p>
    <w:p w14:paraId="4B697D46" w14:textId="77777777" w:rsidR="00B04B2E" w:rsidRPr="00B04B2E" w:rsidRDefault="00B04B2E" w:rsidP="008215FF">
      <w:pPr>
        <w:numPr>
          <w:ilvl w:val="0"/>
          <w:numId w:val="1"/>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1960s-1970s</w:t>
      </w:r>
      <w:r w:rsidRPr="00B04B2E">
        <w:rPr>
          <w:rFonts w:ascii="Times New Roman" w:eastAsia="Times New Roman" w:hAnsi="Times New Roman" w:cs="Times New Roman"/>
          <w:kern w:val="0"/>
          <w:sz w:val="28"/>
          <w:szCs w:val="28"/>
          <w14:ligatures w14:val="none"/>
        </w:rPr>
        <w:t>: The roots of ESG investing can be traced back to socially responsible investing (SRI), which emerged during the civil rights movement and anti-war protests in the United States. Investors started avoiding companies involved in activities they deemed unethical, such as tobacco, weapons manufacturing, or apartheid in South Africa.</w:t>
      </w:r>
    </w:p>
    <w:p w14:paraId="28F7CAD6" w14:textId="77777777" w:rsidR="00B04B2E" w:rsidRPr="00B04B2E" w:rsidRDefault="00B04B2E" w:rsidP="008215FF">
      <w:pPr>
        <w:numPr>
          <w:ilvl w:val="0"/>
          <w:numId w:val="1"/>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1980s</w:t>
      </w:r>
      <w:r w:rsidRPr="00B04B2E">
        <w:rPr>
          <w:rFonts w:ascii="Times New Roman" w:eastAsia="Times New Roman" w:hAnsi="Times New Roman" w:cs="Times New Roman"/>
          <w:kern w:val="0"/>
          <w:sz w:val="28"/>
          <w:szCs w:val="28"/>
          <w14:ligatures w14:val="none"/>
        </w:rPr>
        <w:t>: The concept gained traction as institutions like pension funds and religious groups began to adopt SRI principles. The formation of the Domini 400 Social Index in 1990, the first SRI index, was a milestone.</w:t>
      </w:r>
    </w:p>
    <w:p w14:paraId="452D3681" w14:textId="77777777" w:rsidR="00B04B2E" w:rsidRPr="00B04B2E" w:rsidRDefault="00B04B2E" w:rsidP="008215FF">
      <w:pPr>
        <w:spacing w:before="100" w:beforeAutospacing="1" w:after="100" w:afterAutospacing="1" w:line="240" w:lineRule="auto"/>
        <w:jc w:val="both"/>
        <w:outlineLvl w:val="2"/>
        <w:rPr>
          <w:rFonts w:ascii="Times New Roman" w:eastAsia="Times New Roman" w:hAnsi="Times New Roman" w:cs="Times New Roman"/>
          <w:b/>
          <w:bCs/>
          <w:kern w:val="0"/>
          <w:sz w:val="31"/>
          <w:szCs w:val="31"/>
          <w14:ligatures w14:val="none"/>
        </w:rPr>
      </w:pPr>
      <w:r w:rsidRPr="00B04B2E">
        <w:rPr>
          <w:rFonts w:ascii="Times New Roman" w:eastAsia="Times New Roman" w:hAnsi="Times New Roman" w:cs="Times New Roman"/>
          <w:b/>
          <w:bCs/>
          <w:kern w:val="0"/>
          <w:sz w:val="31"/>
          <w:szCs w:val="31"/>
          <w14:ligatures w14:val="none"/>
        </w:rPr>
        <w:t>2. Expansion and Evolution: Emergence of ESG (1990s-2000s)</w:t>
      </w:r>
    </w:p>
    <w:p w14:paraId="7290C6A1" w14:textId="77777777" w:rsidR="00B04B2E" w:rsidRPr="00B04B2E" w:rsidRDefault="00B04B2E" w:rsidP="008215F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1990s</w:t>
      </w:r>
      <w:r w:rsidRPr="00B04B2E">
        <w:rPr>
          <w:rFonts w:ascii="Times New Roman" w:eastAsia="Times New Roman" w:hAnsi="Times New Roman" w:cs="Times New Roman"/>
          <w:kern w:val="0"/>
          <w:sz w:val="28"/>
          <w:szCs w:val="28"/>
          <w14:ligatures w14:val="none"/>
        </w:rPr>
        <w:t>: The focus shifted from exclusionary practices (avoiding certain industries) to a broader consideration of corporate behavior. This era saw the development of environmental, social, and governance criteria as distinct but interconnected areas of concern.</w:t>
      </w:r>
    </w:p>
    <w:p w14:paraId="3721118A" w14:textId="77777777" w:rsidR="00B04B2E" w:rsidRPr="00B04B2E" w:rsidRDefault="00B04B2E" w:rsidP="008215FF">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2000s</w:t>
      </w:r>
      <w:r w:rsidRPr="00B04B2E">
        <w:rPr>
          <w:rFonts w:ascii="Times New Roman" w:eastAsia="Times New Roman" w:hAnsi="Times New Roman" w:cs="Times New Roman"/>
          <w:kern w:val="0"/>
          <w:sz w:val="28"/>
          <w:szCs w:val="28"/>
          <w14:ligatures w14:val="none"/>
        </w:rPr>
        <w:t>: The term "ESG" was popularized following the 2004 UN Global Compact report, "Who Cares Wins," which argued that incorporating ESG factors into investment decisions leads to better outcomes. This period also saw the launch of the UN Principles for Responsible Investment (PRI) in 2006, which encouraged investors to integrate ESG considerations into their investment processes.</w:t>
      </w:r>
    </w:p>
    <w:p w14:paraId="0AAAA923" w14:textId="77777777" w:rsidR="00B04B2E" w:rsidRPr="00B04B2E" w:rsidRDefault="00B04B2E" w:rsidP="008215FF">
      <w:pPr>
        <w:spacing w:before="100" w:beforeAutospacing="1" w:after="100" w:afterAutospacing="1" w:line="240" w:lineRule="auto"/>
        <w:jc w:val="both"/>
        <w:outlineLvl w:val="2"/>
        <w:rPr>
          <w:rFonts w:ascii="Times New Roman" w:eastAsia="Times New Roman" w:hAnsi="Times New Roman" w:cs="Times New Roman"/>
          <w:b/>
          <w:bCs/>
          <w:kern w:val="0"/>
          <w:sz w:val="31"/>
          <w:szCs w:val="31"/>
          <w14:ligatures w14:val="none"/>
        </w:rPr>
      </w:pPr>
      <w:r w:rsidRPr="00B04B2E">
        <w:rPr>
          <w:rFonts w:ascii="Times New Roman" w:eastAsia="Times New Roman" w:hAnsi="Times New Roman" w:cs="Times New Roman"/>
          <w:b/>
          <w:bCs/>
          <w:kern w:val="0"/>
          <w:sz w:val="31"/>
          <w:szCs w:val="31"/>
          <w14:ligatures w14:val="none"/>
        </w:rPr>
        <w:t>3. Mainstream Adoption: 2010s</w:t>
      </w:r>
    </w:p>
    <w:p w14:paraId="50275A90" w14:textId="77777777" w:rsidR="00B04B2E" w:rsidRPr="00B04B2E" w:rsidRDefault="00B04B2E" w:rsidP="008215FF">
      <w:pPr>
        <w:numPr>
          <w:ilvl w:val="0"/>
          <w:numId w:val="3"/>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2010s</w:t>
      </w:r>
      <w:r w:rsidRPr="00B04B2E">
        <w:rPr>
          <w:rFonts w:ascii="Times New Roman" w:eastAsia="Times New Roman" w:hAnsi="Times New Roman" w:cs="Times New Roman"/>
          <w:kern w:val="0"/>
          <w:sz w:val="28"/>
          <w:szCs w:val="28"/>
          <w14:ligatures w14:val="none"/>
        </w:rPr>
        <w:t>: ESG investing became mainstream as institutional investors, including pension funds and asset managers, increasingly recognized the financial materiality of ESG factors. The Global Reporting Initiative (GRI) and the Sustainability Accounting Standards Board (SASB) helped standardize ESG reporting, making it easier for investors to assess companies' ESG performance.</w:t>
      </w:r>
    </w:p>
    <w:p w14:paraId="10CA1EA8" w14:textId="77777777" w:rsidR="00B04B2E" w:rsidRPr="00B04B2E" w:rsidRDefault="00B04B2E" w:rsidP="008215FF">
      <w:pPr>
        <w:numPr>
          <w:ilvl w:val="0"/>
          <w:numId w:val="3"/>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kern w:val="0"/>
          <w:sz w:val="28"/>
          <w:szCs w:val="28"/>
          <w14:ligatures w14:val="none"/>
        </w:rPr>
        <w:lastRenderedPageBreak/>
        <w:t>The Paris Agreement in 2015 also spurred investor interest in climate-related risks, leading to the development of frameworks like the Task Force on Climate-related Financial Disclosures (TCFD).</w:t>
      </w:r>
    </w:p>
    <w:p w14:paraId="3506CC6D" w14:textId="77777777" w:rsidR="00B04B2E" w:rsidRPr="00B04B2E" w:rsidRDefault="00B04B2E" w:rsidP="008215FF">
      <w:pPr>
        <w:spacing w:before="100" w:beforeAutospacing="1" w:after="100" w:afterAutospacing="1" w:line="240" w:lineRule="auto"/>
        <w:jc w:val="both"/>
        <w:outlineLvl w:val="2"/>
        <w:rPr>
          <w:rFonts w:ascii="Times New Roman" w:eastAsia="Times New Roman" w:hAnsi="Times New Roman" w:cs="Times New Roman"/>
          <w:b/>
          <w:bCs/>
          <w:kern w:val="0"/>
          <w:sz w:val="31"/>
          <w:szCs w:val="31"/>
          <w14:ligatures w14:val="none"/>
        </w:rPr>
      </w:pPr>
      <w:r w:rsidRPr="00B04B2E">
        <w:rPr>
          <w:rFonts w:ascii="Times New Roman" w:eastAsia="Times New Roman" w:hAnsi="Times New Roman" w:cs="Times New Roman"/>
          <w:b/>
          <w:bCs/>
          <w:kern w:val="0"/>
          <w:sz w:val="31"/>
          <w:szCs w:val="31"/>
          <w14:ligatures w14:val="none"/>
        </w:rPr>
        <w:t>4. Current Landscape: 2020s and Beyond</w:t>
      </w:r>
    </w:p>
    <w:p w14:paraId="60DD50AE" w14:textId="77777777" w:rsidR="00B04B2E" w:rsidRPr="00B04B2E" w:rsidRDefault="00B04B2E" w:rsidP="008215FF">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2020s</w:t>
      </w:r>
      <w:r w:rsidRPr="00B04B2E">
        <w:rPr>
          <w:rFonts w:ascii="Times New Roman" w:eastAsia="Times New Roman" w:hAnsi="Times New Roman" w:cs="Times New Roman"/>
          <w:kern w:val="0"/>
          <w:sz w:val="28"/>
          <w:szCs w:val="28"/>
          <w14:ligatures w14:val="none"/>
        </w:rPr>
        <w:t>: ESG investing has grown exponentially, with assets under management (AUM) in ESG funds reaching trillions of dollars. The COVID-19 pandemic accelerated interest in social factors, such as employee welfare and community impact. The rise of "greenwashing" concerns has led to increased scrutiny and calls for clearer definitions and regulations.</w:t>
      </w:r>
    </w:p>
    <w:p w14:paraId="255B5D97" w14:textId="5DE2A2B6" w:rsidR="008215FF" w:rsidRPr="008215FF" w:rsidRDefault="00B04B2E" w:rsidP="008215FF">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b/>
          <w:bCs/>
          <w:kern w:val="0"/>
          <w:sz w:val="28"/>
          <w:szCs w:val="28"/>
          <w14:ligatures w14:val="none"/>
        </w:rPr>
        <w:t>Future Trends</w:t>
      </w:r>
      <w:r w:rsidRPr="00B04B2E">
        <w:rPr>
          <w:rFonts w:ascii="Times New Roman" w:eastAsia="Times New Roman" w:hAnsi="Times New Roman" w:cs="Times New Roman"/>
          <w:kern w:val="0"/>
          <w:sz w:val="28"/>
          <w:szCs w:val="28"/>
          <w14:ligatures w14:val="none"/>
        </w:rPr>
        <w:t>: ESG is expected to continue evolving, with increasing emphasis on impact investing (seeking measurable social and environmental outcomes), climate change mitigation, and diversity, equity, and inclusion (DEI) initiatives.</w:t>
      </w:r>
    </w:p>
    <w:p w14:paraId="36903B85" w14:textId="5A8912D5"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w:t>
      </w:r>
      <w:r w:rsidRPr="008215FF">
        <w:rPr>
          <w:rFonts w:ascii="Times New Roman" w:eastAsia="Times New Roman" w:hAnsi="Times New Roman" w:cs="Times New Roman"/>
          <w:kern w:val="0"/>
          <w:sz w:val="28"/>
          <w:szCs w:val="28"/>
          <w14:ligatures w14:val="none"/>
        </w:rPr>
        <w:t>ere are some recent examples of ESG investing:</w:t>
      </w:r>
    </w:p>
    <w:p w14:paraId="564830C9"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8215FF">
        <w:rPr>
          <w:rFonts w:ascii="Times New Roman" w:eastAsia="Times New Roman" w:hAnsi="Times New Roman" w:cs="Times New Roman"/>
          <w:b/>
          <w:bCs/>
          <w:kern w:val="0"/>
          <w:sz w:val="28"/>
          <w:szCs w:val="28"/>
          <w14:ligatures w14:val="none"/>
        </w:rPr>
        <w:t>1. BlackRock’s ESG Commitments (2023)</w:t>
      </w:r>
    </w:p>
    <w:p w14:paraId="2A847633"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8215FF">
        <w:rPr>
          <w:rFonts w:ascii="Times New Roman" w:eastAsia="Times New Roman" w:hAnsi="Times New Roman" w:cs="Times New Roman"/>
          <w:kern w:val="0"/>
          <w:sz w:val="28"/>
          <w:szCs w:val="28"/>
          <w14:ligatures w14:val="none"/>
        </w:rPr>
        <w:t>Net-Zero Initiatives: BlackRock, the world's largest asset manager, continued its commitment to ESG by focusing on achieving net-zero emissions across its portfolio by 2050. This includes increasing investments in renewable energy and divesting from companies that fail to align with net-zero goals.</w:t>
      </w:r>
    </w:p>
    <w:p w14:paraId="36B73A93"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8215FF">
        <w:rPr>
          <w:rFonts w:ascii="Times New Roman" w:eastAsia="Times New Roman" w:hAnsi="Times New Roman" w:cs="Times New Roman"/>
          <w:kern w:val="0"/>
          <w:sz w:val="28"/>
          <w:szCs w:val="28"/>
          <w14:ligatures w14:val="none"/>
        </w:rPr>
        <w:t>ESG ETFs: In 2023, BlackRock expanded its lineup of ESG-focused exchange-traded funds (ETFs), offering investors more options to align their portfolios with sustainability goals.</w:t>
      </w:r>
    </w:p>
    <w:p w14:paraId="2E4EEE26"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8215FF">
        <w:rPr>
          <w:rFonts w:ascii="Times New Roman" w:eastAsia="Times New Roman" w:hAnsi="Times New Roman" w:cs="Times New Roman"/>
          <w:b/>
          <w:bCs/>
          <w:kern w:val="0"/>
          <w:sz w:val="28"/>
          <w:szCs w:val="28"/>
          <w14:ligatures w14:val="none"/>
        </w:rPr>
        <w:t>2. Microsoft’s Sustainability Bond (2023)</w:t>
      </w:r>
    </w:p>
    <w:p w14:paraId="2512EBFE"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8215FF">
        <w:rPr>
          <w:rFonts w:ascii="Times New Roman" w:eastAsia="Times New Roman" w:hAnsi="Times New Roman" w:cs="Times New Roman"/>
          <w:kern w:val="0"/>
          <w:sz w:val="28"/>
          <w:szCs w:val="28"/>
          <w14:ligatures w14:val="none"/>
        </w:rPr>
        <w:t>$1 Billion Sustainability Bond: In 2023, Microsoft issued its third sustainability bond, raising $1 billion to fund projects aimed at reducing carbon emissions, conserving water, and promoting social inclusion. The bond is part of Microsoft’s broader ESG strategy, which includes achieving carbon neutrality by 2030.</w:t>
      </w:r>
    </w:p>
    <w:p w14:paraId="61F42DFD"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8215FF">
        <w:rPr>
          <w:rFonts w:ascii="Times New Roman" w:eastAsia="Times New Roman" w:hAnsi="Times New Roman" w:cs="Times New Roman"/>
          <w:b/>
          <w:bCs/>
          <w:kern w:val="0"/>
          <w:sz w:val="28"/>
          <w:szCs w:val="28"/>
          <w14:ligatures w14:val="none"/>
        </w:rPr>
        <w:t>3. Nestlé’s Regenerative Agriculture Investments (2023)</w:t>
      </w:r>
    </w:p>
    <w:p w14:paraId="6F951E05"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8215FF">
        <w:rPr>
          <w:rFonts w:ascii="Times New Roman" w:eastAsia="Times New Roman" w:hAnsi="Times New Roman" w:cs="Times New Roman"/>
          <w:kern w:val="0"/>
          <w:sz w:val="28"/>
          <w:szCs w:val="28"/>
          <w14:ligatures w14:val="none"/>
        </w:rPr>
        <w:t xml:space="preserve">$3.2 Billion Investment: Nestlé announced a significant investment of $3.2 billion in regenerative agriculture practices. This investment aims to promote sustainable farming techniques that improve soil health, enhance biodiversity, and support </w:t>
      </w:r>
      <w:r w:rsidRPr="008215FF">
        <w:rPr>
          <w:rFonts w:ascii="Times New Roman" w:eastAsia="Times New Roman" w:hAnsi="Times New Roman" w:cs="Times New Roman"/>
          <w:kern w:val="0"/>
          <w:sz w:val="28"/>
          <w:szCs w:val="28"/>
          <w14:ligatures w14:val="none"/>
        </w:rPr>
        <w:lastRenderedPageBreak/>
        <w:t>farmers. It is part of Nestlé’s broader commitment to reaching net-zero emissions by 2050.</w:t>
      </w:r>
    </w:p>
    <w:p w14:paraId="46ADA139"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8215FF">
        <w:rPr>
          <w:rFonts w:ascii="Times New Roman" w:eastAsia="Times New Roman" w:hAnsi="Times New Roman" w:cs="Times New Roman"/>
          <w:b/>
          <w:bCs/>
          <w:kern w:val="0"/>
          <w:sz w:val="28"/>
          <w:szCs w:val="28"/>
          <w14:ligatures w14:val="none"/>
        </w:rPr>
        <w:t>4. Goldman Sachs’ One Million Black Women Initiative (2023)</w:t>
      </w:r>
    </w:p>
    <w:p w14:paraId="0E0EE7D8"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8215FF">
        <w:rPr>
          <w:rFonts w:ascii="Times New Roman" w:eastAsia="Times New Roman" w:hAnsi="Times New Roman" w:cs="Times New Roman"/>
          <w:kern w:val="0"/>
          <w:sz w:val="28"/>
          <w:szCs w:val="28"/>
          <w14:ligatures w14:val="none"/>
        </w:rPr>
        <w:t>$10 Billion Initiative: Goldman Sachs launched the One Million Black Women initiative in 2021, with ongoing efforts in 2023. This initiative aims to invest $10 billion over the next decade to support Black women through investments in education, housing, healthcare, and small business growth.</w:t>
      </w:r>
    </w:p>
    <w:p w14:paraId="6CE0FEAA"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8215FF">
        <w:rPr>
          <w:rFonts w:ascii="Times New Roman" w:eastAsia="Times New Roman" w:hAnsi="Times New Roman" w:cs="Times New Roman"/>
          <w:b/>
          <w:bCs/>
          <w:kern w:val="0"/>
          <w:sz w:val="28"/>
          <w:szCs w:val="28"/>
          <w14:ligatures w14:val="none"/>
        </w:rPr>
        <w:t>5. Tesla’s Renewable Energy Focus (2023)</w:t>
      </w:r>
    </w:p>
    <w:p w14:paraId="0E96BE9D"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8215FF">
        <w:rPr>
          <w:rFonts w:ascii="Times New Roman" w:eastAsia="Times New Roman" w:hAnsi="Times New Roman" w:cs="Times New Roman"/>
          <w:kern w:val="0"/>
          <w:sz w:val="28"/>
          <w:szCs w:val="28"/>
          <w14:ligatures w14:val="none"/>
        </w:rPr>
        <w:t>Expansion of Solar and Battery Storage: Tesla continued to expand its solar energy and battery storage solutions in 2023, emphasizing its commitment to renewable energy. Tesla’s focus on sustainable energy solutions has made it a favorite among ESG investors looking to reduce carbon footprints.</w:t>
      </w:r>
    </w:p>
    <w:p w14:paraId="481B5471" w14:textId="77777777" w:rsidR="008215FF" w:rsidRPr="008215FF" w:rsidRDefault="008215FF" w:rsidP="008215F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8215FF">
        <w:rPr>
          <w:rFonts w:ascii="Times New Roman" w:eastAsia="Times New Roman" w:hAnsi="Times New Roman" w:cs="Times New Roman"/>
          <w:b/>
          <w:bCs/>
          <w:kern w:val="0"/>
          <w:sz w:val="28"/>
          <w:szCs w:val="28"/>
          <w14:ligatures w14:val="none"/>
        </w:rPr>
        <w:t>6. ESG Regulations in the European Union (2023)</w:t>
      </w:r>
    </w:p>
    <w:p w14:paraId="62616550" w14:textId="5B8350DC" w:rsidR="008215FF" w:rsidRPr="00B04B2E" w:rsidRDefault="008215FF"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8215FF">
        <w:rPr>
          <w:rFonts w:ascii="Times New Roman" w:eastAsia="Times New Roman" w:hAnsi="Times New Roman" w:cs="Times New Roman"/>
          <w:kern w:val="0"/>
          <w:sz w:val="28"/>
          <w:szCs w:val="28"/>
          <w14:ligatures w14:val="none"/>
        </w:rPr>
        <w:t>Corporate Sustainability Reporting Directive (CSRD): In 2023, the EU’s CSRD came into effect, requiring more companies to report on their ESG performance. This regulation is expected to increase transparency and accountability in ESG practices across Europe, influencing investment decisions.</w:t>
      </w:r>
    </w:p>
    <w:p w14:paraId="64176C28" w14:textId="77777777" w:rsidR="00B04B2E" w:rsidRPr="00B04B2E" w:rsidRDefault="00B04B2E" w:rsidP="008215FF">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04B2E">
        <w:rPr>
          <w:rFonts w:ascii="Times New Roman" w:eastAsia="Times New Roman" w:hAnsi="Times New Roman" w:cs="Times New Roman"/>
          <w:kern w:val="0"/>
          <w:sz w:val="28"/>
          <w:szCs w:val="28"/>
          <w14:ligatures w14:val="none"/>
        </w:rPr>
        <w:t>ESG investing has matured from a niche concern to a central component of the global investment landscape, reflecting a broader shift towards sustainable and responsible business practices.</w:t>
      </w:r>
    </w:p>
    <w:p w14:paraId="0F9AE786" w14:textId="77777777" w:rsidR="00031234" w:rsidRPr="00B04B2E" w:rsidRDefault="00031234" w:rsidP="008215FF">
      <w:pPr>
        <w:jc w:val="both"/>
        <w:rPr>
          <w:sz w:val="28"/>
          <w:szCs w:val="28"/>
        </w:rPr>
      </w:pPr>
    </w:p>
    <w:sectPr w:rsidR="00031234" w:rsidRPr="00B04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F62"/>
    <w:multiLevelType w:val="multilevel"/>
    <w:tmpl w:val="C40E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62F10"/>
    <w:multiLevelType w:val="multilevel"/>
    <w:tmpl w:val="8990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7F53B7"/>
    <w:multiLevelType w:val="multilevel"/>
    <w:tmpl w:val="CCD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677E8"/>
    <w:multiLevelType w:val="multilevel"/>
    <w:tmpl w:val="88BC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790474">
    <w:abstractNumId w:val="1"/>
  </w:num>
  <w:num w:numId="2" w16cid:durableId="718868142">
    <w:abstractNumId w:val="3"/>
  </w:num>
  <w:num w:numId="3" w16cid:durableId="1848668334">
    <w:abstractNumId w:val="2"/>
  </w:num>
  <w:num w:numId="4" w16cid:durableId="206709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0NDACAktjYyNjcyUdpeDU4uLM/DyQAsNaAOfPkA8sAAAA"/>
  </w:docVars>
  <w:rsids>
    <w:rsidRoot w:val="00031234"/>
    <w:rsid w:val="00031234"/>
    <w:rsid w:val="000B0CDD"/>
    <w:rsid w:val="008215FF"/>
    <w:rsid w:val="00B04B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AC5C"/>
  <w15:chartTrackingRefBased/>
  <w15:docId w15:val="{8DD62FFF-A93F-40F1-B7E5-EA2FA2EC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1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1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234"/>
    <w:rPr>
      <w:rFonts w:eastAsiaTheme="majorEastAsia" w:cstheme="majorBidi"/>
      <w:color w:val="272727" w:themeColor="text1" w:themeTint="D8"/>
    </w:rPr>
  </w:style>
  <w:style w:type="paragraph" w:styleId="Title">
    <w:name w:val="Title"/>
    <w:basedOn w:val="Normal"/>
    <w:next w:val="Normal"/>
    <w:link w:val="TitleChar"/>
    <w:uiPriority w:val="10"/>
    <w:qFormat/>
    <w:rsid w:val="00031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4"/>
    <w:pPr>
      <w:spacing w:before="160"/>
      <w:jc w:val="center"/>
    </w:pPr>
    <w:rPr>
      <w:i/>
      <w:iCs/>
      <w:color w:val="404040" w:themeColor="text1" w:themeTint="BF"/>
    </w:rPr>
  </w:style>
  <w:style w:type="character" w:customStyle="1" w:styleId="QuoteChar">
    <w:name w:val="Quote Char"/>
    <w:basedOn w:val="DefaultParagraphFont"/>
    <w:link w:val="Quote"/>
    <w:uiPriority w:val="29"/>
    <w:rsid w:val="00031234"/>
    <w:rPr>
      <w:i/>
      <w:iCs/>
      <w:color w:val="404040" w:themeColor="text1" w:themeTint="BF"/>
    </w:rPr>
  </w:style>
  <w:style w:type="paragraph" w:styleId="ListParagraph">
    <w:name w:val="List Paragraph"/>
    <w:basedOn w:val="Normal"/>
    <w:uiPriority w:val="34"/>
    <w:qFormat/>
    <w:rsid w:val="00031234"/>
    <w:pPr>
      <w:ind w:left="720"/>
      <w:contextualSpacing/>
    </w:pPr>
  </w:style>
  <w:style w:type="character" w:styleId="IntenseEmphasis">
    <w:name w:val="Intense Emphasis"/>
    <w:basedOn w:val="DefaultParagraphFont"/>
    <w:uiPriority w:val="21"/>
    <w:qFormat/>
    <w:rsid w:val="00031234"/>
    <w:rPr>
      <w:i/>
      <w:iCs/>
      <w:color w:val="0F4761" w:themeColor="accent1" w:themeShade="BF"/>
    </w:rPr>
  </w:style>
  <w:style w:type="paragraph" w:styleId="IntenseQuote">
    <w:name w:val="Intense Quote"/>
    <w:basedOn w:val="Normal"/>
    <w:next w:val="Normal"/>
    <w:link w:val="IntenseQuoteChar"/>
    <w:uiPriority w:val="30"/>
    <w:qFormat/>
    <w:rsid w:val="00031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234"/>
    <w:rPr>
      <w:i/>
      <w:iCs/>
      <w:color w:val="0F4761" w:themeColor="accent1" w:themeShade="BF"/>
    </w:rPr>
  </w:style>
  <w:style w:type="character" w:styleId="IntenseReference">
    <w:name w:val="Intense Reference"/>
    <w:basedOn w:val="DefaultParagraphFont"/>
    <w:uiPriority w:val="32"/>
    <w:qFormat/>
    <w:rsid w:val="00031234"/>
    <w:rPr>
      <w:b/>
      <w:bCs/>
      <w:smallCaps/>
      <w:color w:val="0F4761" w:themeColor="accent1" w:themeShade="BF"/>
      <w:spacing w:val="5"/>
    </w:rPr>
  </w:style>
  <w:style w:type="paragraph" w:styleId="NormalWeb">
    <w:name w:val="Normal (Web)"/>
    <w:basedOn w:val="Normal"/>
    <w:uiPriority w:val="99"/>
    <w:semiHidden/>
    <w:unhideWhenUsed/>
    <w:rsid w:val="00B04B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4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340296">
      <w:bodyDiv w:val="1"/>
      <w:marLeft w:val="0"/>
      <w:marRight w:val="0"/>
      <w:marTop w:val="0"/>
      <w:marBottom w:val="0"/>
      <w:divBdr>
        <w:top w:val="none" w:sz="0" w:space="0" w:color="auto"/>
        <w:left w:val="none" w:sz="0" w:space="0" w:color="auto"/>
        <w:bottom w:val="none" w:sz="0" w:space="0" w:color="auto"/>
        <w:right w:val="none" w:sz="0" w:space="0" w:color="auto"/>
      </w:divBdr>
      <w:divsChild>
        <w:div w:id="1774664296">
          <w:marLeft w:val="0"/>
          <w:marRight w:val="0"/>
          <w:marTop w:val="0"/>
          <w:marBottom w:val="0"/>
          <w:divBdr>
            <w:top w:val="none" w:sz="0" w:space="0" w:color="auto"/>
            <w:left w:val="none" w:sz="0" w:space="0" w:color="auto"/>
            <w:bottom w:val="none" w:sz="0" w:space="0" w:color="auto"/>
            <w:right w:val="none" w:sz="0" w:space="0" w:color="auto"/>
          </w:divBdr>
          <w:divsChild>
            <w:div w:id="1153444880">
              <w:marLeft w:val="0"/>
              <w:marRight w:val="0"/>
              <w:marTop w:val="0"/>
              <w:marBottom w:val="0"/>
              <w:divBdr>
                <w:top w:val="none" w:sz="0" w:space="0" w:color="auto"/>
                <w:left w:val="none" w:sz="0" w:space="0" w:color="auto"/>
                <w:bottom w:val="none" w:sz="0" w:space="0" w:color="auto"/>
                <w:right w:val="none" w:sz="0" w:space="0" w:color="auto"/>
              </w:divBdr>
              <w:divsChild>
                <w:div w:id="2024474810">
                  <w:marLeft w:val="0"/>
                  <w:marRight w:val="0"/>
                  <w:marTop w:val="0"/>
                  <w:marBottom w:val="0"/>
                  <w:divBdr>
                    <w:top w:val="none" w:sz="0" w:space="0" w:color="auto"/>
                    <w:left w:val="none" w:sz="0" w:space="0" w:color="auto"/>
                    <w:bottom w:val="none" w:sz="0" w:space="0" w:color="auto"/>
                    <w:right w:val="none" w:sz="0" w:space="0" w:color="auto"/>
                  </w:divBdr>
                  <w:divsChild>
                    <w:div w:id="1577975961">
                      <w:marLeft w:val="0"/>
                      <w:marRight w:val="0"/>
                      <w:marTop w:val="0"/>
                      <w:marBottom w:val="0"/>
                      <w:divBdr>
                        <w:top w:val="none" w:sz="0" w:space="0" w:color="auto"/>
                        <w:left w:val="none" w:sz="0" w:space="0" w:color="auto"/>
                        <w:bottom w:val="none" w:sz="0" w:space="0" w:color="auto"/>
                        <w:right w:val="none" w:sz="0" w:space="0" w:color="auto"/>
                      </w:divBdr>
                      <w:divsChild>
                        <w:div w:id="2104034110">
                          <w:marLeft w:val="0"/>
                          <w:marRight w:val="0"/>
                          <w:marTop w:val="0"/>
                          <w:marBottom w:val="0"/>
                          <w:divBdr>
                            <w:top w:val="none" w:sz="0" w:space="0" w:color="auto"/>
                            <w:left w:val="none" w:sz="0" w:space="0" w:color="auto"/>
                            <w:bottom w:val="none" w:sz="0" w:space="0" w:color="auto"/>
                            <w:right w:val="none" w:sz="0" w:space="0" w:color="auto"/>
                          </w:divBdr>
                          <w:divsChild>
                            <w:div w:id="3582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2024-08-26T01:43:00Z</dcterms:created>
  <dcterms:modified xsi:type="dcterms:W3CDTF">2024-08-26T01:46:00Z</dcterms:modified>
</cp:coreProperties>
</file>