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01666" w14:textId="693C7ED6" w:rsidR="00EF2293" w:rsidRPr="00EF2293" w:rsidRDefault="00EF2293" w:rsidP="00EF2293">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sidRPr="00EF2293">
        <w:rPr>
          <w:rFonts w:ascii="Times New Roman" w:eastAsia="Times New Roman" w:hAnsi="Times New Roman" w:cs="Times New Roman"/>
          <w:b/>
          <w:bCs/>
          <w:kern w:val="0"/>
          <w:sz w:val="28"/>
          <w:szCs w:val="28"/>
          <w14:ligatures w14:val="none"/>
        </w:rPr>
        <w:t>Review the past and present ways investors</w:t>
      </w:r>
      <w:r>
        <w:rPr>
          <w:rFonts w:ascii="Times New Roman" w:eastAsia="Times New Roman" w:hAnsi="Times New Roman" w:cs="Times New Roman"/>
          <w:b/>
          <w:bCs/>
          <w:kern w:val="0"/>
          <w:sz w:val="28"/>
          <w:szCs w:val="28"/>
          <w14:ligatures w14:val="none"/>
        </w:rPr>
        <w:t>, ESG</w:t>
      </w:r>
    </w:p>
    <w:p w14:paraId="6B8079EF" w14:textId="4897EB2F" w:rsidR="00EF2293" w:rsidRPr="00EF2293" w:rsidRDefault="00EF2293" w:rsidP="00EF2293">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1. </w:t>
      </w:r>
      <w:r w:rsidRPr="00EF2293">
        <w:rPr>
          <w:rFonts w:ascii="Times New Roman" w:eastAsia="Times New Roman" w:hAnsi="Times New Roman" w:cs="Times New Roman"/>
          <w:b/>
          <w:bCs/>
          <w:kern w:val="0"/>
          <w:sz w:val="28"/>
          <w:szCs w:val="28"/>
          <w14:ligatures w14:val="none"/>
        </w:rPr>
        <w:t>Integration of ESG Factors into Mainstream Investment Analysis (2010s-Present)</w:t>
      </w:r>
    </w:p>
    <w:p w14:paraId="3AD2A702" w14:textId="77777777" w:rsidR="00EF2293" w:rsidRPr="00EF2293" w:rsidRDefault="00EF2293" w:rsidP="00EF2293">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EF2293">
        <w:rPr>
          <w:rFonts w:ascii="Times New Roman" w:eastAsia="Times New Roman" w:hAnsi="Times New Roman" w:cs="Times New Roman"/>
          <w:kern w:val="0"/>
          <w:sz w:val="28"/>
          <w:szCs w:val="28"/>
          <w14:ligatures w14:val="none"/>
        </w:rPr>
        <w:t>Today, ESG factors are commonly integrated into traditional financial analysis and investment decision-making processes. Investors assess how ESG risks and opportunities, such as climate change or corporate governance, might impact a company’s long-term financial performance. This holistic approach recognizes that ESG factors can materially affect a company's bottom line, making them a critical part of investment analysis rather than a separate consideration.</w:t>
      </w:r>
    </w:p>
    <w:p w14:paraId="3E5DC1D5" w14:textId="08DB49ED" w:rsidR="00EF2293" w:rsidRPr="00EF2293" w:rsidRDefault="00EF2293" w:rsidP="00EF2293">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2. </w:t>
      </w:r>
      <w:r w:rsidRPr="00EF2293">
        <w:rPr>
          <w:rFonts w:ascii="Times New Roman" w:eastAsia="Times New Roman" w:hAnsi="Times New Roman" w:cs="Times New Roman"/>
          <w:b/>
          <w:bCs/>
          <w:kern w:val="0"/>
          <w:sz w:val="28"/>
          <w:szCs w:val="28"/>
          <w14:ligatures w14:val="none"/>
        </w:rPr>
        <w:t>Impact Investing (2010s-Present)</w:t>
      </w:r>
    </w:p>
    <w:p w14:paraId="2DE1D482" w14:textId="77777777" w:rsidR="00EF2293" w:rsidRPr="00EF2293" w:rsidRDefault="00EF2293" w:rsidP="00EF2293">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EF2293">
        <w:rPr>
          <w:rFonts w:ascii="Times New Roman" w:eastAsia="Times New Roman" w:hAnsi="Times New Roman" w:cs="Times New Roman"/>
          <w:kern w:val="0"/>
          <w:sz w:val="28"/>
          <w:szCs w:val="28"/>
          <w14:ligatures w14:val="none"/>
        </w:rPr>
        <w:t>Impact investing has gained prominence as investors increasingly seek to generate positive social and environmental outcomes alongside financial returns. This approach involves investing in companies, funds, or projects that have a clear and measurable impact, such as improving access to education, clean energy, or healthcare. Unlike traditional ESG investing, which might focus on mitigating risks, impact investing aims to create tangible, positive change in society.</w:t>
      </w:r>
    </w:p>
    <w:p w14:paraId="4BA247AF" w14:textId="1E50223D" w:rsidR="00EF2293" w:rsidRPr="00EF2293" w:rsidRDefault="00EF2293" w:rsidP="00EF2293">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3. </w:t>
      </w:r>
      <w:r w:rsidRPr="00EF2293">
        <w:rPr>
          <w:rFonts w:ascii="Times New Roman" w:eastAsia="Times New Roman" w:hAnsi="Times New Roman" w:cs="Times New Roman"/>
          <w:b/>
          <w:bCs/>
          <w:kern w:val="0"/>
          <w:sz w:val="28"/>
          <w:szCs w:val="28"/>
          <w14:ligatures w14:val="none"/>
        </w:rPr>
        <w:t>ESG-Linked Bonds and Loans (2020s-Present)</w:t>
      </w:r>
    </w:p>
    <w:p w14:paraId="2BA4D0DA" w14:textId="77777777" w:rsidR="00EF2293" w:rsidRPr="00EF2293" w:rsidRDefault="00EF2293" w:rsidP="00EF2293">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EF2293">
        <w:rPr>
          <w:rFonts w:ascii="Times New Roman" w:eastAsia="Times New Roman" w:hAnsi="Times New Roman" w:cs="Times New Roman"/>
          <w:kern w:val="0"/>
          <w:sz w:val="28"/>
          <w:szCs w:val="28"/>
          <w14:ligatures w14:val="none"/>
        </w:rPr>
        <w:t>In recent years, ESG-linked financial instruments, such as green bonds, sustainability-linked bonds, and ESG-linked loans, have become popular ways for companies to raise capital while committing to specific ESG outcomes. For instance, green bonds might be used to finance renewable energy projects, while sustainability-linked loans could offer lower interest rates if the borrower meets certain ESG targets. These instruments align financial incentives with sustainable practices, encouraging companies to improve their ESG performance.</w:t>
      </w:r>
    </w:p>
    <w:p w14:paraId="6CED1196" w14:textId="44A8D3B6" w:rsidR="00EF2293" w:rsidRPr="00EF2293" w:rsidRDefault="00EF2293" w:rsidP="00EF2293">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4. </w:t>
      </w:r>
      <w:r w:rsidRPr="00EF2293">
        <w:rPr>
          <w:rFonts w:ascii="Times New Roman" w:eastAsia="Times New Roman" w:hAnsi="Times New Roman" w:cs="Times New Roman"/>
          <w:b/>
          <w:bCs/>
          <w:kern w:val="0"/>
          <w:sz w:val="28"/>
          <w:szCs w:val="28"/>
          <w14:ligatures w14:val="none"/>
        </w:rPr>
        <w:t>ESG Data and Analytics (2020s-Present)</w:t>
      </w:r>
    </w:p>
    <w:p w14:paraId="5DC891E4" w14:textId="77777777" w:rsidR="00EF2293" w:rsidRPr="00EF2293" w:rsidRDefault="00EF2293" w:rsidP="00EF2293">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EF2293">
        <w:rPr>
          <w:rFonts w:ascii="Times New Roman" w:eastAsia="Times New Roman" w:hAnsi="Times New Roman" w:cs="Times New Roman"/>
          <w:kern w:val="0"/>
          <w:sz w:val="28"/>
          <w:szCs w:val="28"/>
          <w14:ligatures w14:val="none"/>
        </w:rPr>
        <w:t>The availability of advanced ESG data and analytics has revolutionized how investors assess ESG performance. With the help of AI and big data, investors can now monitor and analyze ESG factors in real-time, allowing for more informed decision-making. These technologies enable investors to identify emerging risks and opportunities related to ESG, ensuring that their portfolios are aligned with their sustainability goals.</w:t>
      </w:r>
    </w:p>
    <w:p w14:paraId="7291AEF8" w14:textId="0A4D63BF" w:rsidR="00EF2293" w:rsidRPr="00EF2293" w:rsidRDefault="00EF2293" w:rsidP="00EF2293">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5. </w:t>
      </w:r>
      <w:r w:rsidRPr="00EF2293">
        <w:rPr>
          <w:rFonts w:ascii="Times New Roman" w:eastAsia="Times New Roman" w:hAnsi="Times New Roman" w:cs="Times New Roman"/>
          <w:b/>
          <w:bCs/>
          <w:kern w:val="0"/>
          <w:sz w:val="28"/>
          <w:szCs w:val="28"/>
          <w14:ligatures w14:val="none"/>
        </w:rPr>
        <w:t>Regulatory Compliance and Standardization (2020s-Present)</w:t>
      </w:r>
    </w:p>
    <w:p w14:paraId="59F24373" w14:textId="77777777" w:rsidR="00EF2293" w:rsidRPr="00EF2293" w:rsidRDefault="00EF2293" w:rsidP="00EF2293">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EF2293">
        <w:rPr>
          <w:rFonts w:ascii="Times New Roman" w:eastAsia="Times New Roman" w:hAnsi="Times New Roman" w:cs="Times New Roman"/>
          <w:kern w:val="0"/>
          <w:sz w:val="28"/>
          <w:szCs w:val="28"/>
          <w14:ligatures w14:val="none"/>
        </w:rPr>
        <w:lastRenderedPageBreak/>
        <w:t>As ESG investing has become more mainstream, regulatory bodies have introduced new standards and reporting requirements to increase transparency and accountability. Regulations like the EU’s Corporate Sustainability Reporting Directive (CSRD) and frameworks like the Task Force on Climate-related Financial Disclosures (TCFD) have made it easier for investors to compare ESG performance across companies. This trend towards standardization helps reduce greenwashing and ensures that ESG claims are backed by verifiable data.</w:t>
      </w:r>
    </w:p>
    <w:p w14:paraId="3E126739" w14:textId="77777777" w:rsidR="00EF2293" w:rsidRPr="00EF2293" w:rsidRDefault="00EF2293" w:rsidP="00EF2293">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r w:rsidRPr="00EF2293">
        <w:rPr>
          <w:rFonts w:ascii="Times New Roman" w:eastAsia="Times New Roman" w:hAnsi="Times New Roman" w:cs="Times New Roman"/>
          <w:b/>
          <w:bCs/>
          <w:kern w:val="0"/>
          <w:sz w:val="28"/>
          <w:szCs w:val="28"/>
          <w14:ligatures w14:val="none"/>
        </w:rPr>
        <w:t>Future Trends</w:t>
      </w:r>
    </w:p>
    <w:p w14:paraId="630EC461" w14:textId="77777777" w:rsidR="00EF2293" w:rsidRPr="00EF2293" w:rsidRDefault="00EF2293" w:rsidP="00EF2293">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EF2293">
        <w:rPr>
          <w:rFonts w:ascii="Times New Roman" w:eastAsia="Times New Roman" w:hAnsi="Times New Roman" w:cs="Times New Roman"/>
          <w:kern w:val="0"/>
          <w:sz w:val="28"/>
          <w:szCs w:val="28"/>
          <w14:ligatures w14:val="none"/>
        </w:rPr>
        <w:t>Looking ahead, the integration of AI and big data is expected to further refine ESG assessments, making them more precise and actionable. Enhanced tools for measuring and reporting the actual impact of investments will become crucial as investors demand greater accountability. Additionally, there will be continued efforts towards global standardization of ESG practices, driven by regulatory pressures and the need to maintain investor confidence in the authenticity of ESG claims.</w:t>
      </w:r>
    </w:p>
    <w:p w14:paraId="73CBC278" w14:textId="77777777" w:rsidR="00592D71" w:rsidRPr="00EF2293" w:rsidRDefault="00592D71" w:rsidP="00EF2293">
      <w:pPr>
        <w:jc w:val="both"/>
        <w:rPr>
          <w:sz w:val="28"/>
          <w:szCs w:val="28"/>
        </w:rPr>
      </w:pPr>
    </w:p>
    <w:sectPr w:rsidR="00592D71" w:rsidRPr="00EF2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71"/>
    <w:rsid w:val="000B0CDD"/>
    <w:rsid w:val="00592D71"/>
    <w:rsid w:val="00EF22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D25F"/>
  <w15:chartTrackingRefBased/>
  <w15:docId w15:val="{DDCC0EC0-8A60-4A3F-8459-2C5577B9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2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2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D71"/>
    <w:rPr>
      <w:rFonts w:eastAsiaTheme="majorEastAsia" w:cstheme="majorBidi"/>
      <w:color w:val="272727" w:themeColor="text1" w:themeTint="D8"/>
    </w:rPr>
  </w:style>
  <w:style w:type="paragraph" w:styleId="Title">
    <w:name w:val="Title"/>
    <w:basedOn w:val="Normal"/>
    <w:next w:val="Normal"/>
    <w:link w:val="TitleChar"/>
    <w:uiPriority w:val="10"/>
    <w:qFormat/>
    <w:rsid w:val="00592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D71"/>
    <w:pPr>
      <w:spacing w:before="160"/>
      <w:jc w:val="center"/>
    </w:pPr>
    <w:rPr>
      <w:i/>
      <w:iCs/>
      <w:color w:val="404040" w:themeColor="text1" w:themeTint="BF"/>
    </w:rPr>
  </w:style>
  <w:style w:type="character" w:customStyle="1" w:styleId="QuoteChar">
    <w:name w:val="Quote Char"/>
    <w:basedOn w:val="DefaultParagraphFont"/>
    <w:link w:val="Quote"/>
    <w:uiPriority w:val="29"/>
    <w:rsid w:val="00592D71"/>
    <w:rPr>
      <w:i/>
      <w:iCs/>
      <w:color w:val="404040" w:themeColor="text1" w:themeTint="BF"/>
    </w:rPr>
  </w:style>
  <w:style w:type="paragraph" w:styleId="ListParagraph">
    <w:name w:val="List Paragraph"/>
    <w:basedOn w:val="Normal"/>
    <w:uiPriority w:val="34"/>
    <w:qFormat/>
    <w:rsid w:val="00592D71"/>
    <w:pPr>
      <w:ind w:left="720"/>
      <w:contextualSpacing/>
    </w:pPr>
  </w:style>
  <w:style w:type="character" w:styleId="IntenseEmphasis">
    <w:name w:val="Intense Emphasis"/>
    <w:basedOn w:val="DefaultParagraphFont"/>
    <w:uiPriority w:val="21"/>
    <w:qFormat/>
    <w:rsid w:val="00592D71"/>
    <w:rPr>
      <w:i/>
      <w:iCs/>
      <w:color w:val="0F4761" w:themeColor="accent1" w:themeShade="BF"/>
    </w:rPr>
  </w:style>
  <w:style w:type="paragraph" w:styleId="IntenseQuote">
    <w:name w:val="Intense Quote"/>
    <w:basedOn w:val="Normal"/>
    <w:next w:val="Normal"/>
    <w:link w:val="IntenseQuoteChar"/>
    <w:uiPriority w:val="30"/>
    <w:qFormat/>
    <w:rsid w:val="00592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D71"/>
    <w:rPr>
      <w:i/>
      <w:iCs/>
      <w:color w:val="0F4761" w:themeColor="accent1" w:themeShade="BF"/>
    </w:rPr>
  </w:style>
  <w:style w:type="character" w:styleId="IntenseReference">
    <w:name w:val="Intense Reference"/>
    <w:basedOn w:val="DefaultParagraphFont"/>
    <w:uiPriority w:val="32"/>
    <w:qFormat/>
    <w:rsid w:val="00592D71"/>
    <w:rPr>
      <w:b/>
      <w:bCs/>
      <w:smallCaps/>
      <w:color w:val="0F4761" w:themeColor="accent1" w:themeShade="BF"/>
      <w:spacing w:val="5"/>
    </w:rPr>
  </w:style>
  <w:style w:type="character" w:styleId="Strong">
    <w:name w:val="Strong"/>
    <w:basedOn w:val="DefaultParagraphFont"/>
    <w:uiPriority w:val="22"/>
    <w:qFormat/>
    <w:rsid w:val="00EF2293"/>
    <w:rPr>
      <w:b/>
      <w:bCs/>
    </w:rPr>
  </w:style>
  <w:style w:type="paragraph" w:styleId="NormalWeb">
    <w:name w:val="Normal (Web)"/>
    <w:basedOn w:val="Normal"/>
    <w:uiPriority w:val="99"/>
    <w:semiHidden/>
    <w:unhideWhenUsed/>
    <w:rsid w:val="00EF229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76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2</cp:revision>
  <dcterms:created xsi:type="dcterms:W3CDTF">2024-08-26T01:51:00Z</dcterms:created>
  <dcterms:modified xsi:type="dcterms:W3CDTF">2024-08-26T01:53:00Z</dcterms:modified>
</cp:coreProperties>
</file>