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470F" w14:textId="77777777" w:rsidR="008B7701" w:rsidRPr="00E85224" w:rsidRDefault="008B7701" w:rsidP="00B400D3">
      <w:pPr>
        <w:spacing w:after="0"/>
        <w:jc w:val="both"/>
        <w:rPr>
          <w:rFonts w:ascii="Times New Roman" w:hAnsi="Times New Roman" w:cs="Times New Roman"/>
          <w:b/>
          <w:bCs/>
          <w:sz w:val="30"/>
          <w:szCs w:val="30"/>
        </w:rPr>
      </w:pPr>
      <w:r w:rsidRPr="00E85224">
        <w:rPr>
          <w:rFonts w:ascii="Times New Roman" w:hAnsi="Times New Roman" w:cs="Times New Roman"/>
          <w:b/>
          <w:bCs/>
          <w:sz w:val="30"/>
          <w:szCs w:val="30"/>
        </w:rPr>
        <w:t>Overview of FinTech Regulation and Ethics</w:t>
      </w:r>
    </w:p>
    <w:p w14:paraId="2680D3F5"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FinTech Regulation</w:t>
      </w:r>
    </w:p>
    <w:p w14:paraId="4CBB2E89" w14:textId="16D240D0" w:rsidR="00795CB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FinTech, or financial technology, has transformed the financial services industry by offering innovative solutions such as mobile payments, peer-to-peer lending, blockchain, and digital currencies. As the sector evolves rapidly, regulation ensures stability, security, and fairness in financial markets. Key aspects include:</w:t>
      </w:r>
    </w:p>
    <w:p w14:paraId="3DD359D5"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Consumer Protection</w:t>
      </w:r>
    </w:p>
    <w:p w14:paraId="1B703A2E" w14:textId="334B6088"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Consumer protection is at the core of FinTech regulation to ensure users can safely engage with digital financial services. This involves securing personal data from breaches, ensuring financial transactions are encrypted, and mandating clear and fair service agreements. For example, regulations require platforms to display interest rates, fees, and terms for loans or investments in an accessible and understandable manner, reducing predatory practices and empowering users with informed decision-making capabilities.</w:t>
      </w:r>
    </w:p>
    <w:p w14:paraId="3B74BD38"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Anti-Money Laundering (AML) and Counter-Terrorism Financing (CTF)</w:t>
      </w:r>
    </w:p>
    <w:p w14:paraId="79C0ACC9" w14:textId="0EB43B15"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AML and CTF regulations play a critical role in preventing illicit financial activities, such as money laundering or funding terrorism, by enforcing stringent KYC (Know Your Customer) and transaction monitoring protocols. FinTech firms are required to adopt advanced tools, including AI-based fraud detection and blockchain, to track suspicious activities. Global compliance frameworks like FATF ensure alignment with international standards, fostering trust in cross-border operations.</w:t>
      </w:r>
    </w:p>
    <w:p w14:paraId="6FB1A20A"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Data Privacy and Security</w:t>
      </w:r>
    </w:p>
    <w:p w14:paraId="4774E57F" w14:textId="2C031E75"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As FinTech heavily relies on user data, robust data privacy laws like the GDPR in Europe or India's Data Protection Bill ensure that personal information is collected, processed, and stored securely. Firms must implement cybersecurity measures such as encryption, multi-factor authentication, and regular vulnerability assessments to counter hacking attempts and data breaches. This builds consumer confidence in digital platforms while meeting legal obligations.</w:t>
      </w:r>
    </w:p>
    <w:p w14:paraId="6A9501D1"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Regulatory Sandbox</w:t>
      </w:r>
    </w:p>
    <w:p w14:paraId="796C4C33" w14:textId="34CCBF19"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 xml:space="preserve">Regulatory sandboxes allow FinTech startups to test innovative solutions in a controlled environment under the supervision of regulators. This approach fosters innovation while minimizing risks to consumers and financial systems. For instance, India's SEBI and the UK’s FCA operate sandboxes that enable firms to refine products, such as AI-driven </w:t>
      </w:r>
      <w:r w:rsidRPr="00E85224">
        <w:rPr>
          <w:rFonts w:ascii="Times New Roman" w:hAnsi="Times New Roman" w:cs="Times New Roman"/>
          <w:sz w:val="28"/>
          <w:szCs w:val="28"/>
        </w:rPr>
        <w:lastRenderedPageBreak/>
        <w:t>credit platforms, before full-scale launch. The feedback from regulators and users helps bridge innovation and compliance effectively.</w:t>
      </w:r>
    </w:p>
    <w:p w14:paraId="4AB42C0D"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Licensing and Compliance</w:t>
      </w:r>
    </w:p>
    <w:p w14:paraId="1FC324BF" w14:textId="2DCC0344"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Licensing ensures FinTech firms operate within a structured legal framework, promoting accountability and stability. Firms providing services like digital banking, payments, or insurance must obtain specific licenses and adhere to local regulatory standards. Regular compliance audits, financial reporting, and capital adequacy requirements ensure that firms maintain operational integrity, reducing risks of systemic failures or fraud.</w:t>
      </w:r>
    </w:p>
    <w:p w14:paraId="1C658955" w14:textId="77777777" w:rsidR="008B7701" w:rsidRPr="00E85224" w:rsidRDefault="008B7701" w:rsidP="00B400D3">
      <w:pPr>
        <w:numPr>
          <w:ilvl w:val="0"/>
          <w:numId w:val="2"/>
        </w:numPr>
        <w:spacing w:after="0"/>
        <w:jc w:val="both"/>
        <w:rPr>
          <w:rFonts w:ascii="Times New Roman" w:hAnsi="Times New Roman" w:cs="Times New Roman"/>
          <w:sz w:val="28"/>
          <w:szCs w:val="28"/>
        </w:rPr>
      </w:pPr>
      <w:r w:rsidRPr="00E85224">
        <w:rPr>
          <w:rFonts w:ascii="Times New Roman" w:hAnsi="Times New Roman" w:cs="Times New Roman"/>
          <w:sz w:val="28"/>
          <w:szCs w:val="28"/>
        </w:rPr>
        <w:t>International Coordination</w:t>
      </w:r>
    </w:p>
    <w:p w14:paraId="3382EDF1" w14:textId="65C8AE92"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With FinTech operating on a global scale, cross-border regulations are essential to facilitate smooth transactions and prevent jurisdictional conflicts. Collaborative efforts by organizations like the G20 or the Basel Committee ensure harmonized standards for international operations. These include creating frameworks for digital currencies and cross-border payments, reducing fragmentation in the regulatory landscape.</w:t>
      </w:r>
    </w:p>
    <w:p w14:paraId="6B437E39" w14:textId="237AA114" w:rsidR="008B7701" w:rsidRPr="00E85224" w:rsidRDefault="008B7701" w:rsidP="00B400D3">
      <w:pPr>
        <w:spacing w:after="0"/>
        <w:jc w:val="both"/>
        <w:rPr>
          <w:rFonts w:ascii="Times New Roman" w:hAnsi="Times New Roman" w:cs="Times New Roman"/>
          <w:b/>
          <w:bCs/>
          <w:sz w:val="28"/>
          <w:szCs w:val="28"/>
        </w:rPr>
      </w:pPr>
      <w:r w:rsidRPr="00E85224">
        <w:rPr>
          <w:rFonts w:ascii="Times New Roman" w:hAnsi="Times New Roman" w:cs="Times New Roman"/>
          <w:b/>
          <w:bCs/>
          <w:sz w:val="28"/>
          <w:szCs w:val="28"/>
        </w:rPr>
        <w:t xml:space="preserve">B. </w:t>
      </w:r>
      <w:r w:rsidRPr="00E85224">
        <w:rPr>
          <w:rFonts w:ascii="Times New Roman" w:hAnsi="Times New Roman" w:cs="Times New Roman"/>
          <w:b/>
          <w:bCs/>
          <w:sz w:val="28"/>
          <w:szCs w:val="28"/>
        </w:rPr>
        <w:t>Ethics in FinTech</w:t>
      </w:r>
    </w:p>
    <w:p w14:paraId="174E37E3" w14:textId="77777777" w:rsidR="008B7701" w:rsidRPr="00E85224" w:rsidRDefault="008B7701" w:rsidP="00B400D3">
      <w:pPr>
        <w:numPr>
          <w:ilvl w:val="0"/>
          <w:numId w:val="1"/>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Transparency</w:t>
      </w:r>
    </w:p>
    <w:p w14:paraId="7F09D133" w14:textId="0D104B4E"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Transparency in FinTech requires clear communication about service terms, fees, and risks to foster trust. Companies must avoid complex jargon or hidden costs, ensuring users fully understand financial products. For example, investment platforms need to disclose risk levels and past performance to enable responsible decision-making. Transparent practices also reduce complaints and regulatory scrutiny.</w:t>
      </w:r>
    </w:p>
    <w:p w14:paraId="36AB9E52" w14:textId="77777777" w:rsidR="008B7701" w:rsidRPr="00E85224" w:rsidRDefault="008B7701" w:rsidP="00B400D3">
      <w:pPr>
        <w:numPr>
          <w:ilvl w:val="0"/>
          <w:numId w:val="1"/>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Fairness and Inclusivity</w:t>
      </w:r>
    </w:p>
    <w:p w14:paraId="2CDE6534" w14:textId="3FF53B4F"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FinTech has the potential to democratize access to financial services by reaching underserved populations. Ethical FinTech firms design products that cater to marginalized groups, such as micro-loans for rural areas or low-cost remittance services. It is crucial to ensure that algorithms or credit-scoring systems do not discriminate based on factors like gender, ethnicity, or socio-economic status, promoting equality in financial inclusion.</w:t>
      </w:r>
    </w:p>
    <w:p w14:paraId="6ADD385B" w14:textId="77777777" w:rsidR="008B7701" w:rsidRPr="00E85224" w:rsidRDefault="008B7701" w:rsidP="00B400D3">
      <w:pPr>
        <w:numPr>
          <w:ilvl w:val="0"/>
          <w:numId w:val="1"/>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Accountability</w:t>
      </w:r>
    </w:p>
    <w:p w14:paraId="679AC6B5" w14:textId="1F21C9F4"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 xml:space="preserve">Accountability ensures that FinTech firms take responsibility for their actions, including errors, breaches, or unintended consequences of their technologies. Mechanisms like grievance redressal systems and compensation policies for fraud victims enhance </w:t>
      </w:r>
      <w:r w:rsidRPr="00E85224">
        <w:rPr>
          <w:rFonts w:ascii="Times New Roman" w:hAnsi="Times New Roman" w:cs="Times New Roman"/>
          <w:sz w:val="28"/>
          <w:szCs w:val="28"/>
        </w:rPr>
        <w:lastRenderedPageBreak/>
        <w:t>customer trust. Additionally, firms need to anticipate and mitigate the societal impact of their innovations, such as managing job disruptions caused by automation.</w:t>
      </w:r>
    </w:p>
    <w:p w14:paraId="37C5F083" w14:textId="77777777" w:rsidR="008B7701" w:rsidRPr="00E85224" w:rsidRDefault="008B7701" w:rsidP="00B400D3">
      <w:pPr>
        <w:numPr>
          <w:ilvl w:val="0"/>
          <w:numId w:val="1"/>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AI and Algorithmic Ethics</w:t>
      </w:r>
    </w:p>
    <w:p w14:paraId="4155D435" w14:textId="10C80035"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 xml:space="preserve">AI-driven systems in FinTech, such as automated credit scoring or </w:t>
      </w:r>
      <w:proofErr w:type="spellStart"/>
      <w:r w:rsidRPr="00E85224">
        <w:rPr>
          <w:rFonts w:ascii="Times New Roman" w:hAnsi="Times New Roman" w:cs="Times New Roman"/>
          <w:sz w:val="28"/>
          <w:szCs w:val="28"/>
        </w:rPr>
        <w:t>robo</w:t>
      </w:r>
      <w:proofErr w:type="spellEnd"/>
      <w:r w:rsidRPr="00E85224">
        <w:rPr>
          <w:rFonts w:ascii="Times New Roman" w:hAnsi="Times New Roman" w:cs="Times New Roman"/>
          <w:sz w:val="28"/>
          <w:szCs w:val="28"/>
        </w:rPr>
        <w:t>-advisors, must be designed to prevent bias and ensure fairness. Ethical concerns arise when opaque algorithms deny loans or give investment advice without explainability. Regulators and companies are working to introduce principles like "algorithmic accountability," ensuring that decisions made by AI are transparent, auditable, and free from discrimination.</w:t>
      </w:r>
    </w:p>
    <w:p w14:paraId="14BAC9B3" w14:textId="77777777" w:rsidR="008B7701" w:rsidRPr="00E85224" w:rsidRDefault="008B7701" w:rsidP="00B400D3">
      <w:pPr>
        <w:numPr>
          <w:ilvl w:val="0"/>
          <w:numId w:val="1"/>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Environmental, Social, and Governance (ESG) Compliance</w:t>
      </w:r>
    </w:p>
    <w:p w14:paraId="7E801696" w14:textId="3513D67D"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 xml:space="preserve">FinTech firms are increasingly integrating ESG principles into their operations, such as offering green financing solutions or prioritizing ethical investments. Companies can promote sustainability by reducing their carbon footprint through cloud-based operations and supporting renewable energy projects. ESG compliance not only aligns with ethical values but also attracts </w:t>
      </w:r>
      <w:proofErr w:type="gramStart"/>
      <w:r w:rsidRPr="00E85224">
        <w:rPr>
          <w:rFonts w:ascii="Times New Roman" w:hAnsi="Times New Roman" w:cs="Times New Roman"/>
          <w:sz w:val="28"/>
          <w:szCs w:val="28"/>
        </w:rPr>
        <w:t>socially-conscious</w:t>
      </w:r>
      <w:proofErr w:type="gramEnd"/>
      <w:r w:rsidRPr="00E85224">
        <w:rPr>
          <w:rFonts w:ascii="Times New Roman" w:hAnsi="Times New Roman" w:cs="Times New Roman"/>
          <w:sz w:val="28"/>
          <w:szCs w:val="28"/>
        </w:rPr>
        <w:t xml:space="preserve"> investors, driving long-term value creation.</w:t>
      </w:r>
    </w:p>
    <w:p w14:paraId="12EF7879" w14:textId="77777777" w:rsidR="008B7701" w:rsidRPr="00E85224" w:rsidRDefault="008B7701" w:rsidP="00B400D3">
      <w:pPr>
        <w:numPr>
          <w:ilvl w:val="0"/>
          <w:numId w:val="1"/>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Cybersecurity and Privacy</w:t>
      </w:r>
    </w:p>
    <w:p w14:paraId="70FBF16D" w14:textId="07ED76BA" w:rsidR="008B7701" w:rsidRPr="00E85224" w:rsidRDefault="008B7701"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As custodians of sensitive financial data, FinTech firms must uphold strict ethical standards for data security. Practices like anonymizing data, obtaining informed consent, and prohibiting unauthorized data sharing are essential. Companies must also balance innovation, such as AI-driven insights, with privacy laws, ensuring that technological advancements do not come at the cost of user rights or security.</w:t>
      </w:r>
    </w:p>
    <w:p w14:paraId="3BB51695" w14:textId="524FB71D" w:rsidR="00056B29" w:rsidRPr="00E85224" w:rsidRDefault="00056B29" w:rsidP="00B400D3">
      <w:pPr>
        <w:spacing w:after="0"/>
        <w:jc w:val="both"/>
        <w:rPr>
          <w:rFonts w:ascii="Times New Roman" w:hAnsi="Times New Roman" w:cs="Times New Roman"/>
          <w:b/>
          <w:bCs/>
          <w:sz w:val="28"/>
          <w:szCs w:val="28"/>
        </w:rPr>
      </w:pPr>
      <w:r w:rsidRPr="00E85224">
        <w:rPr>
          <w:rFonts w:ascii="Times New Roman" w:hAnsi="Times New Roman" w:cs="Times New Roman"/>
          <w:b/>
          <w:bCs/>
          <w:sz w:val="28"/>
          <w:szCs w:val="28"/>
        </w:rPr>
        <w:t xml:space="preserve">C. </w:t>
      </w:r>
      <w:r w:rsidRPr="00E85224">
        <w:rPr>
          <w:rFonts w:ascii="Times New Roman" w:hAnsi="Times New Roman" w:cs="Times New Roman"/>
          <w:b/>
          <w:bCs/>
          <w:sz w:val="28"/>
          <w:szCs w:val="28"/>
        </w:rPr>
        <w:t>Regulatory Frameworks for FinTech and Blockchain</w:t>
      </w:r>
    </w:p>
    <w:p w14:paraId="384B0D63" w14:textId="13FD2DB8" w:rsidR="00056B29" w:rsidRPr="00E85224" w:rsidRDefault="00056B29" w:rsidP="00B400D3">
      <w:pPr>
        <w:spacing w:after="0"/>
        <w:jc w:val="both"/>
        <w:rPr>
          <w:rFonts w:ascii="Times New Roman" w:hAnsi="Times New Roman" w:cs="Times New Roman"/>
          <w:sz w:val="28"/>
          <w:szCs w:val="28"/>
        </w:rPr>
      </w:pPr>
      <w:r w:rsidRPr="00E85224">
        <w:rPr>
          <w:rFonts w:ascii="Times New Roman" w:hAnsi="Times New Roman" w:cs="Times New Roman"/>
          <w:sz w:val="28"/>
          <w:szCs w:val="28"/>
        </w:rPr>
        <w:t>Regulatory frameworks for FinTech and blockchain are evolving to balance innovation with consumer protection and financial stability. FinTech regulations focus on areas like consumer protection, anti-money laundering (AML), and data privacy. For instance, frameworks such as the General Data Protection Regulation (GDPR) in Europe enforce strict rules for data security, while AML regulations, guided by FATF standards, require robust KYC processes to prevent financial crimes. Licensing requirements and regulatory sandboxes, like those introduced by the UK’s FCA and India’s SEBI, enable startups to innovate under controlled environments while ensuring compliance with local and international laws.</w:t>
      </w:r>
    </w:p>
    <w:p w14:paraId="53268CDE" w14:textId="324D6E20" w:rsidR="00056B29" w:rsidRPr="00E85224" w:rsidRDefault="00056B29" w:rsidP="00B400D3">
      <w:pPr>
        <w:spacing w:after="0"/>
        <w:jc w:val="both"/>
        <w:rPr>
          <w:rFonts w:ascii="Times New Roman" w:hAnsi="Times New Roman" w:cs="Times New Roman"/>
          <w:sz w:val="28"/>
          <w:szCs w:val="28"/>
        </w:rPr>
      </w:pPr>
      <w:r w:rsidRPr="00E85224">
        <w:rPr>
          <w:rFonts w:ascii="Times New Roman" w:hAnsi="Times New Roman" w:cs="Times New Roman"/>
          <w:sz w:val="28"/>
          <w:szCs w:val="28"/>
        </w:rPr>
        <w:t xml:space="preserve">Blockchain-specific regulations address issues like cryptocurrency legality, taxation, and the development of Central Bank Digital Currencies (CBDCs). Some countries, like the </w:t>
      </w:r>
      <w:r w:rsidRPr="00E85224">
        <w:rPr>
          <w:rFonts w:ascii="Times New Roman" w:hAnsi="Times New Roman" w:cs="Times New Roman"/>
          <w:sz w:val="28"/>
          <w:szCs w:val="28"/>
        </w:rPr>
        <w:lastRenderedPageBreak/>
        <w:t>U.S., treat cryptocurrencies under securities laws, while others, such as El Salvador, have embraced Bitcoin as legal tender. Additionally, governments are working to regulate emerging technologies like decentralized finance (DeFi) platforms and tokenized assets. International collaboration through organizations like the G20 and the Bank for International Settlements (BIS) aims to create harmonized standards, ensuring security, interoperability, and sustainability in blockchain applications while fostering trust and transparency.</w:t>
      </w:r>
    </w:p>
    <w:p w14:paraId="2F17D5FD" w14:textId="77777777" w:rsidR="00056B29" w:rsidRPr="00E85224" w:rsidRDefault="00056B29" w:rsidP="00B400D3">
      <w:pPr>
        <w:spacing w:after="0"/>
        <w:jc w:val="both"/>
        <w:rPr>
          <w:rFonts w:ascii="Times New Roman" w:hAnsi="Times New Roman" w:cs="Times New Roman"/>
          <w:b/>
          <w:bCs/>
          <w:sz w:val="28"/>
          <w:szCs w:val="28"/>
        </w:rPr>
      </w:pPr>
      <w:r w:rsidRPr="00E85224">
        <w:rPr>
          <w:rFonts w:ascii="Times New Roman" w:hAnsi="Times New Roman" w:cs="Times New Roman"/>
          <w:b/>
          <w:bCs/>
          <w:sz w:val="28"/>
          <w:szCs w:val="28"/>
        </w:rPr>
        <w:t xml:space="preserve">D. </w:t>
      </w:r>
      <w:r w:rsidRPr="00E85224">
        <w:rPr>
          <w:rFonts w:ascii="Times New Roman" w:hAnsi="Times New Roman" w:cs="Times New Roman"/>
          <w:b/>
          <w:bCs/>
          <w:sz w:val="28"/>
          <w:szCs w:val="28"/>
        </w:rPr>
        <w:t>Role of Central Banks in Regulating FinTech and Blockchain</w:t>
      </w:r>
    </w:p>
    <w:p w14:paraId="01A93541" w14:textId="0349D841" w:rsidR="00056B29" w:rsidRPr="00E85224" w:rsidRDefault="00056B29" w:rsidP="00B400D3">
      <w:pPr>
        <w:spacing w:after="0"/>
        <w:jc w:val="both"/>
        <w:rPr>
          <w:rFonts w:ascii="Times New Roman" w:hAnsi="Times New Roman" w:cs="Times New Roman"/>
          <w:sz w:val="28"/>
          <w:szCs w:val="28"/>
        </w:rPr>
      </w:pPr>
      <w:r w:rsidRPr="00E85224">
        <w:rPr>
          <w:rFonts w:ascii="Times New Roman" w:hAnsi="Times New Roman" w:cs="Times New Roman"/>
          <w:sz w:val="28"/>
          <w:szCs w:val="28"/>
        </w:rPr>
        <w:t>Central banks play a pivotal role in regulating FinTech and blockchain to ensure financial stability, consumer protection, and the safe integration of innovative technologies. One of their primary responsibilities is overseeing digital payments and financial services offered by FinTech companies. Central banks enforce licensing requirements, set operational standards, and ensure compliance with anti-money laundering (AML) and counter-terrorism financing (CTF) regulations. For example, the Reserve Bank of India (RBI) monitors digital lending platforms to prevent predatory practices and safeguard consumer interests. Additionally, central banks promote secure digital ecosystems by issuing guidelines for cybersecurity and data privacy.</w:t>
      </w:r>
    </w:p>
    <w:p w14:paraId="1945EF16" w14:textId="536CB7EF" w:rsidR="00056B29" w:rsidRPr="00E85224" w:rsidRDefault="00056B29" w:rsidP="00B400D3">
      <w:pPr>
        <w:spacing w:after="0"/>
        <w:jc w:val="both"/>
        <w:rPr>
          <w:rFonts w:ascii="Times New Roman" w:hAnsi="Times New Roman" w:cs="Times New Roman"/>
          <w:sz w:val="28"/>
          <w:szCs w:val="28"/>
        </w:rPr>
      </w:pPr>
      <w:r w:rsidRPr="00E85224">
        <w:rPr>
          <w:rFonts w:ascii="Times New Roman" w:hAnsi="Times New Roman" w:cs="Times New Roman"/>
          <w:sz w:val="28"/>
          <w:szCs w:val="28"/>
        </w:rPr>
        <w:t>In the blockchain domain, central banks are actively exploring Central Bank Digital Currencies (CBDCs) to enhance payment efficiency and financial inclusion. CBDCs offer a regulated alternative to volatile cryptocurrencies while leveraging blockchain technology for secure transactions. Central banks also establish frameworks to regulate cryptocurrencies and stablecoins, ensuring they do not destabilize monetary systems or facilitate illicit activities. For instance, the European Central Bank and the U.S. Federal Reserve are collaborating with global bodies like the BIS to develop standards for blockchain governance and interoperability, enabling safe and transparent adoption of decentralized technologies.</w:t>
      </w:r>
    </w:p>
    <w:p w14:paraId="1C47AB91" w14:textId="77777777" w:rsidR="00B400D3" w:rsidRPr="00E85224" w:rsidRDefault="00B400D3" w:rsidP="00B400D3">
      <w:pPr>
        <w:spacing w:after="0"/>
        <w:jc w:val="both"/>
        <w:rPr>
          <w:rFonts w:ascii="Times New Roman" w:hAnsi="Times New Roman" w:cs="Times New Roman"/>
          <w:b/>
          <w:bCs/>
          <w:sz w:val="28"/>
          <w:szCs w:val="28"/>
        </w:rPr>
      </w:pPr>
      <w:r w:rsidRPr="00E85224">
        <w:rPr>
          <w:rFonts w:ascii="Times New Roman" w:hAnsi="Times New Roman" w:cs="Times New Roman"/>
          <w:b/>
          <w:bCs/>
          <w:sz w:val="28"/>
          <w:szCs w:val="28"/>
        </w:rPr>
        <w:t>Role of Government Agencies in Regulating FinTech and Blockchain in India</w:t>
      </w:r>
    </w:p>
    <w:p w14:paraId="4A076DD1" w14:textId="603A3AD5"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Securities Regulation</w:t>
      </w:r>
    </w:p>
    <w:p w14:paraId="7694E87E" w14:textId="46CB208E"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The Securities and Exchange Board of India (SEBI) regulates crowdfunding, tokenized assets, and blockchain-based fundraising mechanisms like Initial Coin Offerings (ICOs).</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SEBI ensures compliance with securities laws to protect investors and promote transparency in digital asset markets.</w:t>
      </w:r>
    </w:p>
    <w:p w14:paraId="53596DD3" w14:textId="34EFF02C"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Cryptocurrency Regulation and Taxation</w:t>
      </w:r>
    </w:p>
    <w:p w14:paraId="5FFD26F7" w14:textId="7293CF21"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lastRenderedPageBreak/>
        <w:t>The Ministry of Finance introduced a 30% tax on cryptocurrency gains and a 1% Tax Deducted at Source (TDS) on crypto transactions in the Union Budget 2022-23.</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These measures aim to curb speculative trading, ensure accountability, and bring digital assets into the formal economy.</w:t>
      </w:r>
    </w:p>
    <w:p w14:paraId="049EBB03" w14:textId="73DD85F2"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Digital Payments Oversight</w:t>
      </w:r>
    </w:p>
    <w:p w14:paraId="35A52B39" w14:textId="0C6C835E"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The Reserve Bank of India (RBI) oversees digital payment systems like Unified Payments Interface (UPI) and mobile wallets, ensuring operational security, compliance with anti-fraud measures, and system integrity.</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RBI has issued guidelines for digital lending platforms to address predatory practices and protect consumers.</w:t>
      </w:r>
    </w:p>
    <w:p w14:paraId="420A9098" w14:textId="39F87109"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Data Protection and Privacy</w:t>
      </w:r>
    </w:p>
    <w:p w14:paraId="569308DB" w14:textId="217C9984"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The Ministry of Electronics and Information Technology (</w:t>
      </w:r>
      <w:proofErr w:type="spellStart"/>
      <w:r w:rsidRPr="00E85224">
        <w:rPr>
          <w:rFonts w:ascii="Times New Roman" w:hAnsi="Times New Roman" w:cs="Times New Roman"/>
          <w:sz w:val="28"/>
          <w:szCs w:val="28"/>
        </w:rPr>
        <w:t>MeitY</w:t>
      </w:r>
      <w:proofErr w:type="spellEnd"/>
      <w:r w:rsidRPr="00E85224">
        <w:rPr>
          <w:rFonts w:ascii="Times New Roman" w:hAnsi="Times New Roman" w:cs="Times New Roman"/>
          <w:sz w:val="28"/>
          <w:szCs w:val="28"/>
        </w:rPr>
        <w:t>) governs data privacy laws under frameworks like the Digital Personal Data Protection Act, 2023.</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Blockchain solutions that handle personal data must adhere to these regulations to ensure transparency and data security.</w:t>
      </w:r>
    </w:p>
    <w:p w14:paraId="3FE1A810" w14:textId="441A1C58"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Licensing and Innovation Support</w:t>
      </w:r>
    </w:p>
    <w:p w14:paraId="4DB172A8" w14:textId="38BE2912"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 xml:space="preserve">RBI and SEBI provide licensing frameworks for FinTech companies and cryptocurrency exchanges to operate </w:t>
      </w:r>
      <w:proofErr w:type="spellStart"/>
      <w:proofErr w:type="gramStart"/>
      <w:r w:rsidRPr="00E85224">
        <w:rPr>
          <w:rFonts w:ascii="Times New Roman" w:hAnsi="Times New Roman" w:cs="Times New Roman"/>
          <w:sz w:val="28"/>
          <w:szCs w:val="28"/>
        </w:rPr>
        <w:t>legally.India</w:t>
      </w:r>
      <w:proofErr w:type="spellEnd"/>
      <w:proofErr w:type="gramEnd"/>
      <w:r w:rsidRPr="00E85224">
        <w:rPr>
          <w:rFonts w:ascii="Times New Roman" w:hAnsi="Times New Roman" w:cs="Times New Roman"/>
          <w:sz w:val="28"/>
          <w:szCs w:val="28"/>
        </w:rPr>
        <w:t xml:space="preserve"> has also launched Regulatory Sandboxes to promote innovations in blockchain, digital lending, and other FinTech applications in a controlled environment.</w:t>
      </w:r>
    </w:p>
    <w:p w14:paraId="2D1F8405" w14:textId="723A6DDB"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AML and CTF Compliance</w:t>
      </w:r>
    </w:p>
    <w:p w14:paraId="20CBA58B" w14:textId="68DDBE3F"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India enforces anti-money laundering (AML</w:t>
      </w:r>
      <w:proofErr w:type="gramStart"/>
      <w:r w:rsidRPr="00E85224">
        <w:rPr>
          <w:rFonts w:ascii="Times New Roman" w:hAnsi="Times New Roman" w:cs="Times New Roman"/>
          <w:sz w:val="28"/>
          <w:szCs w:val="28"/>
        </w:rPr>
        <w:t>)</w:t>
      </w:r>
      <w:proofErr w:type="gramEnd"/>
      <w:r w:rsidRPr="00E85224">
        <w:rPr>
          <w:rFonts w:ascii="Times New Roman" w:hAnsi="Times New Roman" w:cs="Times New Roman"/>
          <w:sz w:val="28"/>
          <w:szCs w:val="28"/>
        </w:rPr>
        <w:t xml:space="preserve"> and counter-terrorism financing (CTF) measures aligned with Financial Action Task Force (FATF) guidelines.</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Cryptocurrency exchanges operating in India must implement robust KYC (Know Your Customer) and transaction monitoring systems.</w:t>
      </w:r>
    </w:p>
    <w:p w14:paraId="26E5BA30" w14:textId="1DD860D6"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Blockchain Applications in Governance</w:t>
      </w:r>
    </w:p>
    <w:p w14:paraId="5624885F" w14:textId="77777777" w:rsidR="00B400D3" w:rsidRPr="00E85224" w:rsidRDefault="00B400D3" w:rsidP="00B400D3">
      <w:pPr>
        <w:spacing w:after="0"/>
        <w:ind w:left="360"/>
        <w:jc w:val="both"/>
        <w:rPr>
          <w:rFonts w:ascii="Times New Roman" w:hAnsi="Times New Roman" w:cs="Times New Roman"/>
          <w:sz w:val="28"/>
          <w:szCs w:val="28"/>
        </w:rPr>
      </w:pPr>
      <w:proofErr w:type="spellStart"/>
      <w:r w:rsidRPr="00E85224">
        <w:rPr>
          <w:rFonts w:ascii="Times New Roman" w:hAnsi="Times New Roman" w:cs="Times New Roman"/>
          <w:sz w:val="28"/>
          <w:szCs w:val="28"/>
        </w:rPr>
        <w:t>MeitY</w:t>
      </w:r>
      <w:proofErr w:type="spellEnd"/>
      <w:r w:rsidRPr="00E85224">
        <w:rPr>
          <w:rFonts w:ascii="Times New Roman" w:hAnsi="Times New Roman" w:cs="Times New Roman"/>
          <w:sz w:val="28"/>
          <w:szCs w:val="28"/>
        </w:rPr>
        <w:t xml:space="preserve"> promotes blockchain use in governance through initiatives like the National Blockchain Framework, targeting sectors like land record management, supply chains, and digital identity verification.</w:t>
      </w:r>
    </w:p>
    <w:p w14:paraId="5290828C" w14:textId="77777777"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Regulation of DeFi and Emerging Technologies</w:t>
      </w:r>
    </w:p>
    <w:p w14:paraId="6A958EB6" w14:textId="722E2F67"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The RBI and SEBI are studying Decentralized Finance (DeFi) and other blockchain-based financial innovations to develop frameworks for regulating smart contracts and decentralized exchanges (DEXs).</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This ensures that emerging technologies operate securely and ethically within the financial ecosystem.</w:t>
      </w:r>
    </w:p>
    <w:p w14:paraId="7B75A915" w14:textId="70DD7AD3"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Interdepartmental Coordination</w:t>
      </w:r>
    </w:p>
    <w:p w14:paraId="3936248F" w14:textId="40385A08"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lastRenderedPageBreak/>
        <w:t>The Inter-Ministerial Committee on Virtual Currencies works to address jurisdictional challenges, creating a unified approach toward blockchain and cryptocurrency regulation in India.</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Collaboration with international agencies, such as the G20, ensures India's frameworks align with global standards.</w:t>
      </w:r>
    </w:p>
    <w:p w14:paraId="4B6D7B01" w14:textId="4CE2B574" w:rsidR="00B400D3" w:rsidRPr="00E85224" w:rsidRDefault="00B400D3" w:rsidP="00B400D3">
      <w:pPr>
        <w:numPr>
          <w:ilvl w:val="0"/>
          <w:numId w:val="3"/>
        </w:num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Central Bank Digital Currency (CBDC)</w:t>
      </w:r>
    </w:p>
    <w:p w14:paraId="316609BC" w14:textId="3C150966" w:rsidR="00B400D3" w:rsidRPr="00E85224" w:rsidRDefault="00B400D3" w:rsidP="00B400D3">
      <w:pPr>
        <w:spacing w:after="0"/>
        <w:ind w:left="360"/>
        <w:jc w:val="both"/>
        <w:rPr>
          <w:rFonts w:ascii="Times New Roman" w:hAnsi="Times New Roman" w:cs="Times New Roman"/>
          <w:sz w:val="28"/>
          <w:szCs w:val="28"/>
        </w:rPr>
      </w:pPr>
      <w:r w:rsidRPr="00E85224">
        <w:rPr>
          <w:rFonts w:ascii="Times New Roman" w:hAnsi="Times New Roman" w:cs="Times New Roman"/>
          <w:sz w:val="28"/>
          <w:szCs w:val="28"/>
        </w:rPr>
        <w:t>The RBI launched pilot projects for the Digital Rupee to explore blockchain’s potential in modernizing payment systems and enhancing financial inclusion.</w:t>
      </w:r>
      <w:r w:rsidRPr="00E85224">
        <w:rPr>
          <w:rFonts w:ascii="Times New Roman" w:hAnsi="Times New Roman" w:cs="Times New Roman"/>
          <w:sz w:val="28"/>
          <w:szCs w:val="28"/>
        </w:rPr>
        <w:t xml:space="preserve"> </w:t>
      </w:r>
      <w:r w:rsidRPr="00E85224">
        <w:rPr>
          <w:rFonts w:ascii="Times New Roman" w:hAnsi="Times New Roman" w:cs="Times New Roman"/>
          <w:sz w:val="28"/>
          <w:szCs w:val="28"/>
        </w:rPr>
        <w:t>The Digital Rupee is positioned as a regulated alternative to cryptocurrencies, integrating blockchain technology within the existing monetary system.</w:t>
      </w:r>
    </w:p>
    <w:sectPr w:rsidR="00B400D3" w:rsidRPr="00E85224" w:rsidSect="008B7701">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F75DD" w14:textId="77777777" w:rsidR="00D4103D" w:rsidRDefault="00D4103D" w:rsidP="00E85224">
      <w:pPr>
        <w:spacing w:after="0" w:line="240" w:lineRule="auto"/>
      </w:pPr>
      <w:r>
        <w:separator/>
      </w:r>
    </w:p>
  </w:endnote>
  <w:endnote w:type="continuationSeparator" w:id="0">
    <w:p w14:paraId="312DEA8A" w14:textId="77777777" w:rsidR="00D4103D" w:rsidRDefault="00D4103D" w:rsidP="00E8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42556"/>
      <w:docPartObj>
        <w:docPartGallery w:val="Page Numbers (Bottom of Page)"/>
        <w:docPartUnique/>
      </w:docPartObj>
    </w:sdtPr>
    <w:sdtEndPr>
      <w:rPr>
        <w:noProof/>
      </w:rPr>
    </w:sdtEndPr>
    <w:sdtContent>
      <w:p w14:paraId="35342708" w14:textId="7F3F4AE9" w:rsidR="00E85224" w:rsidRDefault="00E852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20164" w14:textId="77777777" w:rsidR="00E85224" w:rsidRDefault="00E85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E7AB8" w14:textId="77777777" w:rsidR="00D4103D" w:rsidRDefault="00D4103D" w:rsidP="00E85224">
      <w:pPr>
        <w:spacing w:after="0" w:line="240" w:lineRule="auto"/>
      </w:pPr>
      <w:r>
        <w:separator/>
      </w:r>
    </w:p>
  </w:footnote>
  <w:footnote w:type="continuationSeparator" w:id="0">
    <w:p w14:paraId="6300346C" w14:textId="77777777" w:rsidR="00D4103D" w:rsidRDefault="00D4103D" w:rsidP="00E8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1217C"/>
    <w:multiLevelType w:val="hybridMultilevel"/>
    <w:tmpl w:val="B792D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63AC9"/>
    <w:multiLevelType w:val="hybridMultilevel"/>
    <w:tmpl w:val="DCEE1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C15079"/>
    <w:multiLevelType w:val="hybridMultilevel"/>
    <w:tmpl w:val="E1249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309840">
    <w:abstractNumId w:val="1"/>
  </w:num>
  <w:num w:numId="2" w16cid:durableId="405346962">
    <w:abstractNumId w:val="2"/>
  </w:num>
  <w:num w:numId="3" w16cid:durableId="19943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zNrM0MDczNTMwMjBV0lEKTi0uzszPAykwrAUA97DC5ywAAAA="/>
  </w:docVars>
  <w:rsids>
    <w:rsidRoot w:val="00795CB1"/>
    <w:rsid w:val="00056B29"/>
    <w:rsid w:val="00795CB1"/>
    <w:rsid w:val="008B7701"/>
    <w:rsid w:val="00B400D3"/>
    <w:rsid w:val="00B80B5F"/>
    <w:rsid w:val="00D4103D"/>
    <w:rsid w:val="00E85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34D8"/>
  <w15:chartTrackingRefBased/>
  <w15:docId w15:val="{3CDBA0FF-C2E3-403F-88AC-69667059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CB1"/>
    <w:rPr>
      <w:rFonts w:eastAsiaTheme="majorEastAsia" w:cstheme="majorBidi"/>
      <w:color w:val="272727" w:themeColor="text1" w:themeTint="D8"/>
    </w:rPr>
  </w:style>
  <w:style w:type="paragraph" w:styleId="Title">
    <w:name w:val="Title"/>
    <w:basedOn w:val="Normal"/>
    <w:next w:val="Normal"/>
    <w:link w:val="TitleChar"/>
    <w:uiPriority w:val="10"/>
    <w:qFormat/>
    <w:rsid w:val="00795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CB1"/>
    <w:pPr>
      <w:spacing w:before="160"/>
      <w:jc w:val="center"/>
    </w:pPr>
    <w:rPr>
      <w:i/>
      <w:iCs/>
      <w:color w:val="404040" w:themeColor="text1" w:themeTint="BF"/>
    </w:rPr>
  </w:style>
  <w:style w:type="character" w:customStyle="1" w:styleId="QuoteChar">
    <w:name w:val="Quote Char"/>
    <w:basedOn w:val="DefaultParagraphFont"/>
    <w:link w:val="Quote"/>
    <w:uiPriority w:val="29"/>
    <w:rsid w:val="00795CB1"/>
    <w:rPr>
      <w:i/>
      <w:iCs/>
      <w:color w:val="404040" w:themeColor="text1" w:themeTint="BF"/>
    </w:rPr>
  </w:style>
  <w:style w:type="paragraph" w:styleId="ListParagraph">
    <w:name w:val="List Paragraph"/>
    <w:basedOn w:val="Normal"/>
    <w:uiPriority w:val="34"/>
    <w:qFormat/>
    <w:rsid w:val="00795CB1"/>
    <w:pPr>
      <w:ind w:left="720"/>
      <w:contextualSpacing/>
    </w:pPr>
  </w:style>
  <w:style w:type="character" w:styleId="IntenseEmphasis">
    <w:name w:val="Intense Emphasis"/>
    <w:basedOn w:val="DefaultParagraphFont"/>
    <w:uiPriority w:val="21"/>
    <w:qFormat/>
    <w:rsid w:val="00795CB1"/>
    <w:rPr>
      <w:i/>
      <w:iCs/>
      <w:color w:val="0F4761" w:themeColor="accent1" w:themeShade="BF"/>
    </w:rPr>
  </w:style>
  <w:style w:type="paragraph" w:styleId="IntenseQuote">
    <w:name w:val="Intense Quote"/>
    <w:basedOn w:val="Normal"/>
    <w:next w:val="Normal"/>
    <w:link w:val="IntenseQuoteChar"/>
    <w:uiPriority w:val="30"/>
    <w:qFormat/>
    <w:rsid w:val="00795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CB1"/>
    <w:rPr>
      <w:i/>
      <w:iCs/>
      <w:color w:val="0F4761" w:themeColor="accent1" w:themeShade="BF"/>
    </w:rPr>
  </w:style>
  <w:style w:type="character" w:styleId="IntenseReference">
    <w:name w:val="Intense Reference"/>
    <w:basedOn w:val="DefaultParagraphFont"/>
    <w:uiPriority w:val="32"/>
    <w:qFormat/>
    <w:rsid w:val="00795CB1"/>
    <w:rPr>
      <w:b/>
      <w:bCs/>
      <w:smallCaps/>
      <w:color w:val="0F4761" w:themeColor="accent1" w:themeShade="BF"/>
      <w:spacing w:val="5"/>
    </w:rPr>
  </w:style>
  <w:style w:type="paragraph" w:styleId="Header">
    <w:name w:val="header"/>
    <w:basedOn w:val="Normal"/>
    <w:link w:val="HeaderChar"/>
    <w:uiPriority w:val="99"/>
    <w:unhideWhenUsed/>
    <w:rsid w:val="00E8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224"/>
  </w:style>
  <w:style w:type="paragraph" w:styleId="Footer">
    <w:name w:val="footer"/>
    <w:basedOn w:val="Normal"/>
    <w:link w:val="FooterChar"/>
    <w:uiPriority w:val="99"/>
    <w:unhideWhenUsed/>
    <w:rsid w:val="00E8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2024-11-21T04:28:00Z</dcterms:created>
  <dcterms:modified xsi:type="dcterms:W3CDTF">2024-11-21T04:42:00Z</dcterms:modified>
</cp:coreProperties>
</file>